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461" w:type="dxa"/>
        <w:tblCellSpacing w:w="0" w:type="dxa"/>
        <w:tblCellMar>
          <w:left w:w="989" w:type="dxa"/>
          <w:right w:w="989" w:type="dxa"/>
        </w:tblCellMar>
        <w:tblLook w:val="04A0"/>
      </w:tblPr>
      <w:tblGrid>
        <w:gridCol w:w="4661"/>
        <w:gridCol w:w="6"/>
      </w:tblGrid>
      <w:tr w:rsidR="00311342" w:rsidRPr="00311342" w:rsidTr="00311342">
        <w:trPr>
          <w:tblCellSpacing w:w="0" w:type="dxa"/>
        </w:trPr>
        <w:tc>
          <w:tcPr>
            <w:tcW w:w="0" w:type="auto"/>
            <w:tcMar>
              <w:top w:w="0" w:type="dxa"/>
              <w:left w:w="0" w:type="dxa"/>
              <w:bottom w:w="0" w:type="dxa"/>
              <w:right w:w="0" w:type="dxa"/>
            </w:tcMar>
            <w:vAlign w:val="center"/>
            <w:hideMark/>
          </w:tcPr>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00"/>
                <w:sz w:val="24"/>
                <w:szCs w:val="24"/>
                <w:rtl/>
              </w:rPr>
              <w:t>آشکار ساز های تابش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1 - آشکار ساز های گازی : اتاقک یونش</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2 - فیلم های رادیو گرافی :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الف – پرتو نگاری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ب – فیلم بج یا آشکار ساز شخصی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کسیکه در محیط پرتو می باشد باید فیلم بج همراه داشته باشد که مقدار تابش (دوز) و نوع تابش را مشخص می کند، که مقدار سیاه شدگی فیلم بج نشان دهنده دوز دریافتی می باشد.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3 - آشکار ساز های ترمولومینانس : (</w:t>
            </w:r>
            <w:r w:rsidRPr="00311342">
              <w:rPr>
                <w:rFonts w:ascii="Tahoma" w:eastAsia="Times New Roman" w:hAnsi="Tahoma" w:cs="Tahoma"/>
                <w:color w:val="FF00FF"/>
                <w:sz w:val="24"/>
                <w:szCs w:val="24"/>
              </w:rPr>
              <w:t>TLD</w:t>
            </w:r>
            <w:r w:rsidRPr="00311342">
              <w:rPr>
                <w:rFonts w:ascii="Tahoma" w:eastAsia="Times New Roman" w:hAnsi="Tahoma" w:cs="Tahoma"/>
                <w:color w:val="FF00FF"/>
                <w:sz w:val="24"/>
                <w:szCs w:val="24"/>
                <w:rtl/>
              </w:rPr>
              <w:t xml:space="preserve">) بصورت پودر در داخل کپسول است که انرژی پرتو داخل پودر </w:t>
            </w:r>
            <w:r w:rsidRPr="00311342">
              <w:rPr>
                <w:rFonts w:ascii="Tahoma" w:eastAsia="Times New Roman" w:hAnsi="Tahoma" w:cs="Tahoma"/>
                <w:color w:val="FF00FF"/>
                <w:sz w:val="24"/>
                <w:szCs w:val="24"/>
              </w:rPr>
              <w:t>TLD</w:t>
            </w:r>
            <w:r w:rsidRPr="00311342">
              <w:rPr>
                <w:rFonts w:ascii="Tahoma" w:eastAsia="Times New Roman" w:hAnsi="Tahoma" w:cs="Tahoma"/>
                <w:color w:val="FF00FF"/>
                <w:sz w:val="24"/>
                <w:szCs w:val="24"/>
                <w:rtl/>
              </w:rPr>
              <w:t xml:space="preserve"> ذخیره شده سپس کپسول </w:t>
            </w:r>
            <w:r w:rsidRPr="00311342">
              <w:rPr>
                <w:rFonts w:ascii="Tahoma" w:eastAsia="Times New Roman" w:hAnsi="Tahoma" w:cs="Tahoma"/>
                <w:color w:val="FF00FF"/>
                <w:sz w:val="24"/>
                <w:szCs w:val="24"/>
              </w:rPr>
              <w:t>TLD</w:t>
            </w:r>
            <w:r w:rsidRPr="00311342">
              <w:rPr>
                <w:rFonts w:ascii="Tahoma" w:eastAsia="Times New Roman" w:hAnsi="Tahoma" w:cs="Tahoma"/>
                <w:color w:val="FF00FF"/>
                <w:sz w:val="24"/>
                <w:szCs w:val="24"/>
                <w:rtl/>
              </w:rPr>
              <w:t xml:space="preserve"> در داخل اجاق مخصوص گرم شده و انرژی ذخیره شده تابش می شود که مقدار تابش اندازه گیری شده و به مقدار دوز، ربط داده می شود.</w:t>
            </w:r>
          </w:p>
          <w:p w:rsidR="00311342" w:rsidRPr="00311342" w:rsidRDefault="00311342" w:rsidP="00311342">
            <w:pPr>
              <w:shd w:val="clear" w:color="auto" w:fill="FFFFFF"/>
              <w:bidi/>
              <w:spacing w:after="44"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tbl>
            <w:tblPr>
              <w:bidiVisual/>
              <w:tblW w:w="0" w:type="auto"/>
              <w:tblInd w:w="2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
              <w:gridCol w:w="1259"/>
            </w:tblGrid>
            <w:tr w:rsidR="00311342" w:rsidRPr="00311342" w:rsidTr="00311342">
              <w:trPr>
                <w:trHeight w:val="812"/>
              </w:trPr>
              <w:tc>
                <w:tcPr>
                  <w:tcW w:w="1797" w:type="dxa"/>
                  <w:tcBorders>
                    <w:top w:val="single" w:sz="4" w:space="0" w:color="FFFFFF"/>
                    <w:left w:val="single" w:sz="4" w:space="0" w:color="FFFFFF"/>
                    <w:bottom w:val="single" w:sz="4" w:space="0" w:color="auto"/>
                    <w:right w:val="single" w:sz="4" w:space="0" w:color="FFFFFF"/>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 xml:space="preserve">مقدار انرژی         </w:t>
                  </w:r>
                </w:p>
              </w:tc>
              <w:tc>
                <w:tcPr>
                  <w:tcW w:w="3284" w:type="dxa"/>
                  <w:vMerge w:val="restart"/>
                  <w:tcBorders>
                    <w:top w:val="single" w:sz="4" w:space="0" w:color="FFFFFF"/>
                    <w:left w:val="single" w:sz="4" w:space="0" w:color="FFFFFF"/>
                    <w:bottom w:val="single" w:sz="4" w:space="0" w:color="FFFFFF"/>
                    <w:right w:val="single" w:sz="4" w:space="0" w:color="FFFFFF"/>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Pr>
                    <w:t xml:space="preserve">ABSORBD  DOSE = </w:t>
                  </w:r>
                </w:p>
              </w:tc>
            </w:tr>
            <w:tr w:rsidR="00311342" w:rsidRPr="00311342" w:rsidTr="00311342">
              <w:trPr>
                <w:trHeight w:val="812"/>
              </w:trPr>
              <w:tc>
                <w:tcPr>
                  <w:tcW w:w="1797" w:type="dxa"/>
                  <w:tcBorders>
                    <w:top w:val="single" w:sz="4" w:space="0" w:color="auto"/>
                    <w:left w:val="single" w:sz="4" w:space="0" w:color="FFFFFF"/>
                    <w:bottom w:val="single" w:sz="4" w:space="0" w:color="FFFFFF"/>
                    <w:right w:val="single" w:sz="4" w:space="0" w:color="FFFFFF"/>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واحد جرم</w:t>
                  </w:r>
                </w:p>
              </w:tc>
              <w:tc>
                <w:tcPr>
                  <w:tcW w:w="0" w:type="auto"/>
                  <w:vMerge/>
                  <w:tcBorders>
                    <w:top w:val="single" w:sz="4" w:space="0" w:color="FFFFFF"/>
                    <w:left w:val="single" w:sz="4" w:space="0" w:color="FFFFFF"/>
                    <w:bottom w:val="single" w:sz="4" w:space="0" w:color="FFFFFF"/>
                    <w:right w:val="single" w:sz="4" w:space="0" w:color="FFFFFF"/>
                  </w:tcBorders>
                  <w:vAlign w:val="center"/>
                  <w:hideMark/>
                </w:tcPr>
                <w:p w:rsidR="00311342" w:rsidRPr="00311342" w:rsidRDefault="00311342" w:rsidP="00311342">
                  <w:pPr>
                    <w:spacing w:after="0" w:line="240" w:lineRule="auto"/>
                    <w:rPr>
                      <w:rFonts w:ascii="Times New Roman" w:eastAsia="Times New Roman" w:hAnsi="Times New Roman" w:cs="Times New Roman"/>
                      <w:color w:val="9D9D9D"/>
                      <w:sz w:val="24"/>
                      <w:szCs w:val="24"/>
                    </w:rPr>
                  </w:pPr>
                </w:p>
              </w:tc>
            </w:tr>
          </w:tbl>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پس وسایل اندازه گیری پرتو به طور کلی عبارتند از:</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الف – فیلم بج</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ب – قلم دزیمتری (دوزیمتر جیبی)</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ج – </w:t>
            </w:r>
            <w:r w:rsidRPr="00311342">
              <w:rPr>
                <w:rFonts w:ascii="Tahoma" w:eastAsia="Times New Roman" w:hAnsi="Tahoma" w:cs="Tahoma"/>
                <w:color w:val="FF00FF"/>
                <w:sz w:val="24"/>
                <w:szCs w:val="24"/>
              </w:rPr>
              <w:t>Geiger counter</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د - </w:t>
            </w:r>
            <w:r w:rsidRPr="00311342">
              <w:rPr>
                <w:rFonts w:ascii="Tahoma" w:eastAsia="Times New Roman" w:hAnsi="Tahoma" w:cs="Tahoma"/>
                <w:color w:val="FF00FF"/>
                <w:sz w:val="24"/>
                <w:szCs w:val="24"/>
              </w:rPr>
              <w:t xml:space="preserve"> </w:t>
            </w:r>
            <w:proofErr w:type="spellStart"/>
            <w:r w:rsidRPr="00311342">
              <w:rPr>
                <w:rFonts w:ascii="Tahoma" w:eastAsia="Times New Roman" w:hAnsi="Tahoma" w:cs="Tahoma"/>
                <w:color w:val="FF00FF"/>
                <w:sz w:val="24"/>
                <w:szCs w:val="24"/>
              </w:rPr>
              <w:t>Proportonal</w:t>
            </w:r>
            <w:proofErr w:type="spellEnd"/>
            <w:r w:rsidRPr="00311342">
              <w:rPr>
                <w:rFonts w:ascii="Tahoma" w:eastAsia="Times New Roman" w:hAnsi="Tahoma" w:cs="Tahoma"/>
                <w:color w:val="FF00FF"/>
                <w:sz w:val="24"/>
                <w:szCs w:val="24"/>
              </w:rPr>
              <w:t xml:space="preserve"> counter</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اندازه گیری رادیو اکتیویته با دستگاه شمارنده گایگر ـ مولر : </w:t>
            </w:r>
            <w:r w:rsidRPr="00311342">
              <w:rPr>
                <w:rFonts w:ascii="Tahoma" w:eastAsia="Times New Roman" w:hAnsi="Tahoma" w:cs="Tahoma"/>
                <w:color w:val="FF00FF"/>
                <w:sz w:val="24"/>
                <w:szCs w:val="24"/>
                <w:rtl/>
              </w:rPr>
              <w:br/>
              <w:t xml:space="preserve">خروجی یا تابش رادیواکتیو می تواند وارد بافتهای زنده شود و به آنها صدمه بزند ، بنابراین </w:t>
            </w:r>
            <w:r w:rsidRPr="00311342">
              <w:rPr>
                <w:rFonts w:ascii="Tahoma" w:eastAsia="Times New Roman" w:hAnsi="Tahoma" w:cs="Tahoma"/>
                <w:color w:val="FF00FF"/>
                <w:sz w:val="24"/>
                <w:szCs w:val="24"/>
                <w:rtl/>
              </w:rPr>
              <w:lastRenderedPageBreak/>
              <w:t xml:space="preserve">اطراف آن باید کنترل شود . این تابش را با وسیله ای به نام شمارنده گایگر ـ مولر ، که نام آن از مخترعانش اقتباس شده است ، می توان اندازه گرفت وقتی تابش رادیو اکتیو وارد این شمارنده می شود ، گاز موجود در آن حامل الکتریسیته می شود . مقدار بار را می توان روی صفحه ای قرائت کرد ، یا از طریق یک بلندگو به صورت صداهای تیک تیک خاصی شنید.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color w:val="9D9D9D"/>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44"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واحد های دوز دریافتی پرتو نیز عبارتند از:</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98"/>
              <w:gridCol w:w="1853"/>
            </w:tblGrid>
            <w:tr w:rsidR="00311342" w:rsidRPr="00311342" w:rsidTr="00311342">
              <w:tc>
                <w:tcPr>
                  <w:tcW w:w="4261" w:type="dxa"/>
                  <w:tcBorders>
                    <w:top w:val="single" w:sz="4" w:space="0" w:color="FFFFFF"/>
                    <w:left w:val="single" w:sz="4" w:space="0" w:color="FFFFFF"/>
                    <w:bottom w:val="single" w:sz="4" w:space="0" w:color="FFFFFF"/>
                    <w:right w:val="single" w:sz="4" w:space="0" w:color="FFFFFF"/>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proofErr w:type="spellStart"/>
                  <w:r w:rsidRPr="00311342">
                    <w:rPr>
                      <w:rFonts w:ascii="Tahoma" w:eastAsia="Times New Roman" w:hAnsi="Tahoma" w:cs="Tahoma"/>
                      <w:color w:val="FF00FF"/>
                      <w:sz w:val="24"/>
                      <w:szCs w:val="24"/>
                    </w:rPr>
                    <w:t>Rem</w:t>
                  </w:r>
                  <w:proofErr w:type="spellEnd"/>
                  <w:r w:rsidRPr="00311342">
                    <w:rPr>
                      <w:rFonts w:ascii="Tahoma" w:eastAsia="Times New Roman" w:hAnsi="Tahoma" w:cs="Tahoma"/>
                      <w:color w:val="FF00FF"/>
                      <w:sz w:val="24"/>
                      <w:szCs w:val="24"/>
                    </w:rPr>
                    <w:t>=</w:t>
                  </w:r>
                  <w:proofErr w:type="spellStart"/>
                  <w:r w:rsidRPr="00311342">
                    <w:rPr>
                      <w:rFonts w:ascii="Tahoma" w:eastAsia="Times New Roman" w:hAnsi="Tahoma" w:cs="Tahoma"/>
                      <w:color w:val="FF00FF"/>
                      <w:sz w:val="24"/>
                      <w:szCs w:val="24"/>
                    </w:rPr>
                    <w:t>Rad</w:t>
                  </w:r>
                  <w:proofErr w:type="spellEnd"/>
                  <w:r w:rsidRPr="00311342">
                    <w:rPr>
                      <w:rFonts w:ascii="Tahoma" w:eastAsia="Times New Roman" w:hAnsi="Tahoma" w:cs="Tahoma"/>
                      <w:color w:val="FF00FF"/>
                      <w:sz w:val="24"/>
                      <w:szCs w:val="24"/>
                    </w:rPr>
                    <w:t>*RBC</w:t>
                  </w:r>
                  <w:r w:rsidRPr="00311342">
                    <w:rPr>
                      <w:rFonts w:ascii="Tahoma" w:eastAsia="Times New Roman" w:hAnsi="Tahoma" w:cs="Tahoma"/>
                      <w:color w:val="FF00FF"/>
                      <w:sz w:val="24"/>
                      <w:szCs w:val="24"/>
                      <w:rtl/>
                    </w:rPr>
                    <w:t xml:space="preserve"> برای انسان</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 xml:space="preserve">         ضریب تأثیر بیولوژیکی</w:t>
                  </w:r>
                </w:p>
              </w:tc>
              <w:tc>
                <w:tcPr>
                  <w:tcW w:w="4261" w:type="dxa"/>
                  <w:tcBorders>
                    <w:top w:val="single" w:sz="4" w:space="0" w:color="FFFFFF"/>
                    <w:left w:val="single" w:sz="4" w:space="0" w:color="FFFFFF"/>
                    <w:bottom w:val="single" w:sz="4" w:space="0" w:color="FFFFFF"/>
                    <w:right w:val="single" w:sz="4" w:space="0" w:color="FFFFFF"/>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imes New Roman" w:eastAsia="Times New Roman" w:hAnsi="Times New Roman" w:cs="Times New Roman"/>
                      <w:color w:val="9D9D9D"/>
                      <w:sz w:val="24"/>
                      <w:szCs w:val="24"/>
                      <w:rtl/>
                    </w:rPr>
                    <w:t> </w:t>
                  </w:r>
                </w:p>
              </w:tc>
            </w:tr>
          </w:tbl>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ورونتگن (</w:t>
            </w:r>
            <w:r w:rsidRPr="00311342">
              <w:rPr>
                <w:rFonts w:ascii="Tahoma" w:eastAsia="Times New Roman" w:hAnsi="Tahoma" w:cs="Tahoma"/>
                <w:color w:val="FF00FF"/>
                <w:sz w:val="24"/>
                <w:szCs w:val="24"/>
              </w:rPr>
              <w:t>Roentgen</w:t>
            </w:r>
            <w:r w:rsidRPr="00311342">
              <w:rPr>
                <w:rFonts w:ascii="Tahoma" w:eastAsia="Times New Roman" w:hAnsi="Tahoma" w:cs="Tahoma"/>
                <w:color w:val="FF00FF"/>
                <w:sz w:val="24"/>
                <w:szCs w:val="24"/>
                <w:rtl/>
              </w:rPr>
              <w:t xml:space="preserve">) که واحد پرتو دهی یا </w:t>
            </w:r>
            <w:r w:rsidRPr="00311342">
              <w:rPr>
                <w:rFonts w:ascii="Tahoma" w:eastAsia="Times New Roman" w:hAnsi="Tahoma" w:cs="Tahoma"/>
                <w:color w:val="FF00FF"/>
                <w:sz w:val="24"/>
                <w:szCs w:val="24"/>
              </w:rPr>
              <w:t>exposure</w:t>
            </w:r>
            <w:r w:rsidRPr="00311342">
              <w:rPr>
                <w:rFonts w:ascii="Tahoma" w:eastAsia="Times New Roman" w:hAnsi="Tahoma" w:cs="Tahoma"/>
                <w:color w:val="FF00FF"/>
                <w:sz w:val="24"/>
                <w:szCs w:val="24"/>
                <w:rtl/>
              </w:rPr>
              <w:t xml:space="preserve"> می باشد و آن مقدار دوز جذبی   پرتو های </w:t>
            </w:r>
            <w:r w:rsidRPr="00311342">
              <w:rPr>
                <w:rFonts w:ascii="Tahoma" w:eastAsia="Times New Roman" w:hAnsi="Tahoma" w:cs="Tahoma"/>
                <w:color w:val="FF00FF"/>
                <w:sz w:val="24"/>
                <w:szCs w:val="24"/>
              </w:rPr>
              <w:t>X</w:t>
            </w:r>
            <w:r w:rsidRPr="00311342">
              <w:rPr>
                <w:rFonts w:ascii="Tahoma" w:eastAsia="Times New Roman" w:hAnsi="Tahoma" w:cs="Tahoma"/>
                <w:color w:val="FF00FF"/>
                <w:sz w:val="24"/>
                <w:szCs w:val="24"/>
                <w:rtl/>
              </w:rPr>
              <w:t xml:space="preserve"> و  در هوا می باشد.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آلودگی خارجی پرتو ها:</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اصول شناسایی خارجی پرتو ها عبارتند از:</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زمان (</w:t>
            </w:r>
            <w:r w:rsidRPr="00311342">
              <w:rPr>
                <w:rFonts w:ascii="Tahoma" w:eastAsia="Times New Roman" w:hAnsi="Tahoma" w:cs="Tahoma"/>
                <w:color w:val="FF00FF"/>
                <w:sz w:val="24"/>
                <w:szCs w:val="24"/>
              </w:rPr>
              <w:t>time</w:t>
            </w:r>
            <w:r w:rsidRPr="00311342">
              <w:rPr>
                <w:rFonts w:ascii="Tahoma" w:eastAsia="Times New Roman" w:hAnsi="Tahoma" w:cs="Tahoma"/>
                <w:color w:val="FF00FF"/>
                <w:sz w:val="24"/>
                <w:szCs w:val="24"/>
                <w:rtl/>
              </w:rPr>
              <w:t xml:space="preserve">)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فاصله (</w:t>
            </w:r>
            <w:r w:rsidRPr="00311342">
              <w:rPr>
                <w:rFonts w:ascii="Tahoma" w:eastAsia="Times New Roman" w:hAnsi="Tahoma" w:cs="Tahoma"/>
                <w:color w:val="FF00FF"/>
                <w:sz w:val="24"/>
                <w:szCs w:val="24"/>
              </w:rPr>
              <w:t>distance</w:t>
            </w:r>
            <w:r w:rsidRPr="00311342">
              <w:rPr>
                <w:rFonts w:ascii="Tahoma" w:eastAsia="Times New Roman" w:hAnsi="Tahoma" w:cs="Tahoma"/>
                <w:color w:val="FF00FF"/>
                <w:sz w:val="24"/>
                <w:szCs w:val="24"/>
                <w:rtl/>
              </w:rPr>
              <w:t>)</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حفاظ (</w:t>
            </w:r>
            <w:r w:rsidRPr="00311342">
              <w:rPr>
                <w:rFonts w:ascii="Tahoma" w:eastAsia="Times New Roman" w:hAnsi="Tahoma" w:cs="Tahoma"/>
                <w:color w:val="FF00FF"/>
                <w:sz w:val="24"/>
                <w:szCs w:val="24"/>
              </w:rPr>
              <w:t>shield</w:t>
            </w:r>
            <w:r w:rsidRPr="00311342">
              <w:rPr>
                <w:rFonts w:ascii="Tahoma" w:eastAsia="Times New Roman" w:hAnsi="Tahoma" w:cs="Tahoma"/>
                <w:color w:val="FF00FF"/>
                <w:sz w:val="24"/>
                <w:szCs w:val="24"/>
                <w:rtl/>
              </w:rPr>
              <w:t xml:space="preserve">)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زمان : مقدار دوز دریافتی فرد به میزان پرتو خروجی دستگاه پرتوزا و زمان تابش بستگی دارد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color w:val="9D9D9D"/>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فاصله : شدت پرتو با عکس مجذور فاصله از منبع پرتوزا کاهش می یابد.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color w:val="9D9D9D"/>
                <w:sz w:val="24"/>
                <w:szCs w:val="24"/>
                <w:rtl/>
              </w:rPr>
              <w:lastRenderedPageBreak/>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حفاظ : ماده ای است که در مقابل منبع پرتو زا قرار می گیرد تا از شدت پرتو کاسته شود.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پرتو : کاغذ و پوست مرده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پرتو  : آلومینیوم و پلاستیک</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پرتو  یا  : لایه سرب یا بتون</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طراحی حفاظ برای پرتو  یا  :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حفاظ بستگی به ماده سازنده حفاظ و ضخامت آن دارد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color w:val="9D9D9D"/>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مقدار انرژی آزاد شده برای تولید پرتو گاما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مقدار انرژی            منبع</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color w:val="9D9D9D"/>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سازمان های جهانی تعیین استاندار برای حفاظت در برابر تابش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Pr>
              <w:t>I.C.R.P</w:t>
            </w:r>
            <w:r w:rsidRPr="00311342">
              <w:rPr>
                <w:rFonts w:ascii="Tahoma" w:eastAsia="Times New Roman" w:hAnsi="Tahoma" w:cs="Tahoma"/>
                <w:color w:val="FF00FF"/>
                <w:sz w:val="24"/>
                <w:szCs w:val="24"/>
                <w:rtl/>
              </w:rPr>
              <w:t xml:space="preserve"> کمیسیون بین المللی حفاظت رادیو لوژیکی.</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Pr>
              <w:t>N.C.R.P</w:t>
            </w:r>
            <w:r w:rsidRPr="00311342">
              <w:rPr>
                <w:rFonts w:ascii="Tahoma" w:eastAsia="Times New Roman" w:hAnsi="Tahoma" w:cs="Tahoma"/>
                <w:color w:val="FF00FF"/>
                <w:sz w:val="24"/>
                <w:szCs w:val="24"/>
                <w:rtl/>
              </w:rPr>
              <w:t xml:space="preserve"> </w:t>
            </w:r>
            <w:r w:rsidRPr="00311342">
              <w:rPr>
                <w:rFonts w:ascii="Tahoma" w:eastAsia="Times New Roman" w:hAnsi="Tahoma" w:cs="Tahoma" w:hint="cs"/>
                <w:color w:val="FF00FF"/>
                <w:sz w:val="24"/>
                <w:szCs w:val="24"/>
                <w:rtl/>
              </w:rPr>
              <w:t xml:space="preserve"> و </w:t>
            </w:r>
            <w:r w:rsidRPr="00311342">
              <w:rPr>
                <w:rFonts w:ascii="Tahoma" w:eastAsia="Times New Roman" w:hAnsi="Tahoma" w:cs="Tahoma"/>
                <w:color w:val="FF00FF"/>
                <w:sz w:val="24"/>
                <w:szCs w:val="24"/>
              </w:rPr>
              <w:t>I.C.R.U</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Pr>
              <w:sym w:font="Wingdings 2" w:char="00ED"/>
            </w:r>
            <w:r w:rsidRPr="00311342">
              <w:rPr>
                <w:rFonts w:ascii="Tahoma" w:eastAsia="Times New Roman" w:hAnsi="Tahoma" w:cs="Tahoma"/>
                <w:color w:val="FF00FF"/>
                <w:sz w:val="24"/>
                <w:szCs w:val="24"/>
                <w:rtl/>
              </w:rPr>
              <w:t>در ایران نیز سازمان انرژی اتمی ایران میزان استاندارد پرتو ها را تعیین می نماید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44"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مقادیر حداکثر مجاز پرتو گیری، که از طرف کمیسیون بین المللی حفاظت در برابر پرتو ها پیشنهاد گردیده عبارتند از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4"/>
              <w:gridCol w:w="1417"/>
              <w:gridCol w:w="1760"/>
            </w:tblGrid>
            <w:tr w:rsidR="00311342" w:rsidRPr="00311342" w:rsidTr="00311342">
              <w:tc>
                <w:tcPr>
                  <w:tcW w:w="2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حداکثر دوز مجاز سالانه برای افراد جامعه (</w:t>
                  </w:r>
                  <w:proofErr w:type="spellStart"/>
                  <w:r w:rsidRPr="00311342">
                    <w:rPr>
                      <w:rFonts w:ascii="Tahoma" w:eastAsia="Times New Roman" w:hAnsi="Tahoma" w:cs="Tahoma"/>
                      <w:color w:val="FF00FF"/>
                      <w:sz w:val="24"/>
                      <w:szCs w:val="24"/>
                    </w:rPr>
                    <w:t>Rem</w:t>
                  </w:r>
                  <w:proofErr w:type="spellEnd"/>
                  <w:r w:rsidRPr="00311342">
                    <w:rPr>
                      <w:rFonts w:ascii="Tahoma" w:eastAsia="Times New Roman" w:hAnsi="Tahoma" w:cs="Tahoma"/>
                      <w:color w:val="FF00FF"/>
                      <w:sz w:val="24"/>
                      <w:szCs w:val="24"/>
                      <w:rtl/>
                    </w:rPr>
                    <w:t>)</w:t>
                  </w:r>
                </w:p>
              </w:tc>
              <w:tc>
                <w:tcPr>
                  <w:tcW w:w="2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حداکثر دوز مجاز سالانه برای کارکنان با پرتو (</w:t>
                  </w:r>
                  <w:proofErr w:type="spellStart"/>
                  <w:r w:rsidRPr="00311342">
                    <w:rPr>
                      <w:rFonts w:ascii="Tahoma" w:eastAsia="Times New Roman" w:hAnsi="Tahoma" w:cs="Tahoma"/>
                      <w:color w:val="FF00FF"/>
                      <w:sz w:val="24"/>
                      <w:szCs w:val="24"/>
                    </w:rPr>
                    <w:t>Rem</w:t>
                  </w:r>
                  <w:proofErr w:type="spellEnd"/>
                  <w:r w:rsidRPr="00311342">
                    <w:rPr>
                      <w:rFonts w:ascii="Tahoma" w:eastAsia="Times New Roman" w:hAnsi="Tahoma" w:cs="Tahoma"/>
                      <w:color w:val="FF00FF"/>
                      <w:sz w:val="24"/>
                      <w:szCs w:val="24"/>
                      <w:rtl/>
                    </w:rPr>
                    <w:t>)</w:t>
                  </w:r>
                </w:p>
              </w:tc>
              <w:tc>
                <w:tcPr>
                  <w:tcW w:w="3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اعضاء</w:t>
                  </w:r>
                </w:p>
              </w:tc>
            </w:tr>
            <w:tr w:rsidR="00311342" w:rsidRPr="00311342" w:rsidTr="00311342">
              <w:tc>
                <w:tcPr>
                  <w:tcW w:w="2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5/0</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3</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5/7</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5/1</w:t>
                  </w:r>
                </w:p>
              </w:tc>
              <w:tc>
                <w:tcPr>
                  <w:tcW w:w="2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5</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30</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75</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15</w:t>
                  </w:r>
                </w:p>
              </w:tc>
              <w:tc>
                <w:tcPr>
                  <w:tcW w:w="3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غدد تولید مثل، مغز استخوان</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پوست، استخوان، </w:t>
                  </w:r>
                  <w:r w:rsidRPr="00311342">
                    <w:rPr>
                      <w:rFonts w:ascii="Tahoma" w:eastAsia="Times New Roman" w:hAnsi="Tahoma" w:cs="Tahoma"/>
                      <w:color w:val="FF00FF"/>
                      <w:sz w:val="24"/>
                      <w:szCs w:val="24"/>
                      <w:rtl/>
                    </w:rPr>
                    <w:lastRenderedPageBreak/>
                    <w:t>تیروئید</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دستها، ساعد، پاها، مچ ها</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اعضاء دیگر بدن</w:t>
                  </w:r>
                </w:p>
              </w:tc>
            </w:tr>
          </w:tbl>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lastRenderedPageBreak/>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علامت بین المللی پرتو:</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color w:val="9D9D9D"/>
                <w:sz w:val="24"/>
                <w:szCs w:val="24"/>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color w:val="9D9D9D"/>
                <w:sz w:val="24"/>
                <w:szCs w:val="24"/>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lang w:bidi="fa-IR"/>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lang w:bidi="fa-IR"/>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lang w:bidi="fa-IR"/>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lang w:bidi="fa-IR"/>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lang w:bidi="fa-IR"/>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lang w:bidi="fa-IR"/>
              </w:rPr>
              <w:t> </w:t>
            </w:r>
          </w:p>
          <w:p w:rsidR="00311342" w:rsidRPr="00311342" w:rsidRDefault="00311342" w:rsidP="00311342">
            <w:pPr>
              <w:shd w:val="clear" w:color="auto" w:fill="FFFFFF"/>
              <w:bidi/>
              <w:spacing w:before="100" w:beforeAutospacing="1" w:after="100" w:afterAutospacing="1" w:line="360" w:lineRule="atLeast"/>
              <w:jc w:val="lowKashida"/>
              <w:outlineLvl w:val="0"/>
              <w:rPr>
                <w:rFonts w:ascii="Times New Roman" w:eastAsia="Times New Roman" w:hAnsi="Times New Roman" w:cs="Times New Roman"/>
                <w:color w:val="9D9D9D"/>
                <w:sz w:val="24"/>
                <w:szCs w:val="24"/>
                <w:rtl/>
              </w:rPr>
            </w:pPr>
            <w:r w:rsidRPr="00311342">
              <w:rPr>
                <w:rFonts w:ascii="Times New Roman" w:eastAsia="Times New Roman" w:hAnsi="Times New Roman" w:cs="Times New Roman" w:hint="cs"/>
                <w:color w:val="000000"/>
                <w:sz w:val="32"/>
                <w:szCs w:val="32"/>
                <w:rtl/>
                <w:lang w:bidi="fa-IR"/>
              </w:rPr>
              <w:lastRenderedPageBreak/>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منابع :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1 . جی ان گریگوری . بررسی خواص و کاربرد رادیو ایزوتوپها . ترجمه : صمد بنیسی و کاظم داوودی . انتشارات دانشگاه امام حسین ( ع ) .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 2 . محمدفام ایرج. طراحی پژوهش و آمار در ایمنی و بهداشت. همدان: انتشارات دانشگاه همدان. 1383.</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3 .  </w:t>
            </w:r>
            <w:proofErr w:type="spellStart"/>
            <w:proofErr w:type="gramStart"/>
            <w:r w:rsidRPr="00311342">
              <w:rPr>
                <w:rFonts w:ascii="Tahoma" w:eastAsia="Times New Roman" w:hAnsi="Tahoma" w:cs="Tahoma"/>
                <w:color w:val="FF00FF"/>
                <w:sz w:val="24"/>
                <w:szCs w:val="24"/>
              </w:rPr>
              <w:t>Cember</w:t>
            </w:r>
            <w:proofErr w:type="spellEnd"/>
            <w:r w:rsidRPr="00311342">
              <w:rPr>
                <w:rFonts w:ascii="Tahoma" w:eastAsia="Times New Roman" w:hAnsi="Tahoma" w:cs="Tahoma"/>
                <w:color w:val="FF00FF"/>
                <w:sz w:val="24"/>
                <w:szCs w:val="24"/>
                <w:rtl/>
              </w:rPr>
              <w:t xml:space="preserve"> .</w:t>
            </w:r>
            <w:proofErr w:type="gramEnd"/>
            <w:r w:rsidRPr="00311342">
              <w:rPr>
                <w:rFonts w:ascii="Tahoma" w:eastAsia="Times New Roman" w:hAnsi="Tahoma" w:cs="Tahoma"/>
                <w:color w:val="FF00FF"/>
                <w:sz w:val="24"/>
                <w:szCs w:val="24"/>
                <w:rtl/>
              </w:rPr>
              <w:t xml:space="preserve"> مقدمه ای بر فیزیک بهداشت . 1992 .</w:t>
            </w:r>
          </w:p>
          <w:p w:rsidR="00311342" w:rsidRPr="00311342" w:rsidRDefault="00311342" w:rsidP="00311342">
            <w:pPr>
              <w:bidi/>
              <w:spacing w:after="44" w:line="360" w:lineRule="atLeast"/>
              <w:rPr>
                <w:rFonts w:ascii="Tahoma" w:eastAsia="Times New Roman" w:hAnsi="Tahoma" w:cs="Tahoma"/>
                <w:color w:val="9D9D9D"/>
                <w:sz w:val="12"/>
                <w:szCs w:val="12"/>
                <w:rtl/>
              </w:rPr>
            </w:pPr>
          </w:p>
          <w:p w:rsidR="00311342" w:rsidRPr="00311342" w:rsidRDefault="00311342" w:rsidP="00311342">
            <w:pPr>
              <w:bidi/>
              <w:spacing w:after="44" w:line="360" w:lineRule="atLeast"/>
              <w:rPr>
                <w:rFonts w:ascii="Tahoma" w:eastAsia="Times New Roman" w:hAnsi="Tahoma" w:cs="Tahoma"/>
                <w:color w:val="9D9D9D"/>
                <w:sz w:val="8"/>
                <w:szCs w:val="8"/>
              </w:rPr>
            </w:pPr>
            <w:r w:rsidRPr="00311342">
              <w:rPr>
                <w:rFonts w:ascii="Tahoma" w:eastAsia="Times New Roman" w:hAnsi="Tahoma" w:cs="Tahoma"/>
                <w:color w:val="9D9D9D"/>
                <w:sz w:val="8"/>
                <w:szCs w:val="8"/>
                <w:rtl/>
              </w:rPr>
              <w:t xml:space="preserve">کلمات کلیدی: </w:t>
            </w:r>
          </w:p>
        </w:tc>
        <w:tc>
          <w:tcPr>
            <w:tcW w:w="27" w:type="dxa"/>
            <w:tcMar>
              <w:top w:w="0" w:type="dxa"/>
              <w:left w:w="0" w:type="dxa"/>
              <w:bottom w:w="0" w:type="dxa"/>
              <w:right w:w="0" w:type="dxa"/>
            </w:tcMar>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r>
    </w:tbl>
    <w:p w:rsidR="00311342" w:rsidRPr="00311342" w:rsidRDefault="00311342" w:rsidP="00311342">
      <w:pPr>
        <w:shd w:val="clear" w:color="auto" w:fill="474747"/>
        <w:spacing w:after="100" w:line="240" w:lineRule="auto"/>
        <w:rPr>
          <w:rFonts w:ascii="Tahoma" w:eastAsia="Times New Roman" w:hAnsi="Tahoma" w:cs="Tahoma"/>
          <w:vanish/>
          <w:color w:val="9D9D9D"/>
          <w:sz w:val="11"/>
          <w:szCs w:val="11"/>
          <w:lang/>
        </w:rPr>
      </w:pPr>
    </w:p>
    <w:tbl>
      <w:tblPr>
        <w:tblW w:w="5000" w:type="pct"/>
        <w:tblCellSpacing w:w="0" w:type="dxa"/>
        <w:tblCellMar>
          <w:left w:w="989" w:type="dxa"/>
          <w:right w:w="989" w:type="dxa"/>
        </w:tblCellMar>
        <w:tblLook w:val="04A0"/>
      </w:tblPr>
      <w:tblGrid>
        <w:gridCol w:w="115"/>
        <w:gridCol w:w="9"/>
        <w:gridCol w:w="9121"/>
        <w:gridCol w:w="115"/>
      </w:tblGrid>
      <w:tr w:rsidR="00311342" w:rsidRPr="00311342" w:rsidTr="00311342">
        <w:trPr>
          <w:trHeight w:val="265"/>
          <w:tblCellSpacing w:w="0" w:type="dxa"/>
        </w:trPr>
        <w:tc>
          <w:tcPr>
            <w:tcW w:w="124" w:type="dxa"/>
            <w:gridSpan w:val="2"/>
            <w:tcMar>
              <w:top w:w="0" w:type="dxa"/>
              <w:left w:w="0" w:type="dxa"/>
              <w:bottom w:w="0" w:type="dxa"/>
              <w:right w:w="0" w:type="dxa"/>
            </w:tcMar>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0" w:type="auto"/>
            <w:tcMar>
              <w:top w:w="0" w:type="dxa"/>
              <w:left w:w="0" w:type="dxa"/>
              <w:bottom w:w="0" w:type="dxa"/>
              <w:right w:w="0" w:type="dxa"/>
            </w:tcMar>
            <w:vAlign w:val="center"/>
            <w:hideMark/>
          </w:tcPr>
          <w:tbl>
            <w:tblPr>
              <w:bidiVisual/>
              <w:tblW w:w="5000" w:type="pct"/>
              <w:tblCellSpacing w:w="15" w:type="dxa"/>
              <w:tblCellMar>
                <w:top w:w="15" w:type="dxa"/>
                <w:left w:w="15" w:type="dxa"/>
                <w:bottom w:w="15" w:type="dxa"/>
                <w:right w:w="15" w:type="dxa"/>
              </w:tblCellMar>
              <w:tblLook w:val="04A0"/>
            </w:tblPr>
            <w:tblGrid>
              <w:gridCol w:w="419"/>
              <w:gridCol w:w="1263"/>
              <w:gridCol w:w="123"/>
              <w:gridCol w:w="403"/>
              <w:gridCol w:w="1941"/>
              <w:gridCol w:w="123"/>
              <w:gridCol w:w="368"/>
              <w:gridCol w:w="4220"/>
              <w:gridCol w:w="123"/>
              <w:gridCol w:w="138"/>
            </w:tblGrid>
            <w:tr w:rsidR="00311342" w:rsidRPr="00311342" w:rsidTr="00311342">
              <w:trPr>
                <w:tblCellSpacing w:w="15" w:type="dxa"/>
              </w:trPr>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Pr>
                      <w:rFonts w:ascii="Tahoma" w:eastAsia="Times New Roman" w:hAnsi="Tahoma" w:cs="Tahoma"/>
                      <w:noProof/>
                      <w:color w:val="9D9D9D"/>
                      <w:sz w:val="12"/>
                      <w:szCs w:val="12"/>
                    </w:rPr>
                    <w:drawing>
                      <wp:inline distT="0" distB="0" distL="0" distR="0">
                        <wp:extent cx="134620" cy="140335"/>
                        <wp:effectExtent l="19050" t="0" r="0" b="0"/>
                        <wp:docPr id="1" name="Picture 1" descr="لینک دائ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لینک دائم"/>
                                <pic:cNvPicPr>
                                  <a:picLocks noChangeAspect="1" noChangeArrowheads="1"/>
                                </pic:cNvPicPr>
                              </pic:nvPicPr>
                              <pic:blipFill>
                                <a:blip r:embed="rId4"/>
                                <a:srcRect/>
                                <a:stretch>
                                  <a:fillRect/>
                                </a:stretch>
                              </pic:blipFill>
                              <pic:spPr bwMode="auto">
                                <a:xfrm>
                                  <a:off x="0" y="0"/>
                                  <a:ext cx="134620" cy="140335"/>
                                </a:xfrm>
                                <a:prstGeom prst="rect">
                                  <a:avLst/>
                                </a:prstGeom>
                                <a:noFill/>
                                <a:ln w="9525">
                                  <a:noFill/>
                                  <a:miter lim="800000"/>
                                  <a:headEnd/>
                                  <a:tailEnd/>
                                </a:ln>
                              </pic:spPr>
                            </pic:pic>
                          </a:graphicData>
                        </a:graphic>
                      </wp:inline>
                    </w:drawing>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hyperlink r:id="rId5" w:history="1">
                    <w:r w:rsidRPr="00311342">
                      <w:rPr>
                        <w:rFonts w:ascii="Tahoma" w:eastAsia="Times New Roman" w:hAnsi="Tahoma" w:cs="Tahoma"/>
                        <w:color w:val="1773B9"/>
                        <w:sz w:val="12"/>
                        <w:rtl/>
                      </w:rPr>
                      <w:t>لینک دائم</w:t>
                    </w:r>
                  </w:hyperlink>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Pr>
                    <w:t> </w:t>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Pr>
                      <w:rFonts w:ascii="Tahoma" w:eastAsia="Times New Roman" w:hAnsi="Tahoma" w:cs="Tahoma"/>
                      <w:noProof/>
                      <w:color w:val="9D9D9D"/>
                      <w:sz w:val="12"/>
                      <w:szCs w:val="12"/>
                    </w:rPr>
                    <w:drawing>
                      <wp:inline distT="0" distB="0" distL="0" distR="0">
                        <wp:extent cx="134620" cy="140335"/>
                        <wp:effectExtent l="19050" t="0" r="0" b="0"/>
                        <wp:docPr id="2" name="Picture 2" descr="لینک دائ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لینک دائم"/>
                                <pic:cNvPicPr>
                                  <a:picLocks noChangeAspect="1" noChangeArrowheads="1"/>
                                </pic:cNvPicPr>
                              </pic:nvPicPr>
                              <pic:blipFill>
                                <a:blip r:embed="rId6"/>
                                <a:srcRect/>
                                <a:stretch>
                                  <a:fillRect/>
                                </a:stretch>
                              </pic:blipFill>
                              <pic:spPr bwMode="auto">
                                <a:xfrm>
                                  <a:off x="0" y="0"/>
                                  <a:ext cx="134620" cy="140335"/>
                                </a:xfrm>
                                <a:prstGeom prst="rect">
                                  <a:avLst/>
                                </a:prstGeom>
                                <a:noFill/>
                                <a:ln w="9525">
                                  <a:noFill/>
                                  <a:miter lim="800000"/>
                                  <a:headEnd/>
                                  <a:tailEnd/>
                                </a:ln>
                              </pic:spPr>
                            </pic:pic>
                          </a:graphicData>
                        </a:graphic>
                      </wp:inline>
                    </w:drawing>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hyperlink r:id="rId7" w:tooltip="Comments" w:history="1">
                    <w:r w:rsidRPr="00311342">
                      <w:rPr>
                        <w:rFonts w:ascii="Tahoma" w:eastAsia="Times New Roman" w:hAnsi="Tahoma" w:cs="Tahoma"/>
                        <w:color w:val="1773B9"/>
                        <w:sz w:val="12"/>
                        <w:rtl/>
                      </w:rPr>
                      <w:t>نظر شما</w:t>
                    </w:r>
                    <w:r w:rsidRPr="00311342">
                      <w:rPr>
                        <w:rFonts w:ascii="Tahoma" w:eastAsia="Times New Roman" w:hAnsi="Tahoma" w:cs="Tahoma"/>
                        <w:color w:val="1773B9"/>
                        <w:sz w:val="12"/>
                      </w:rPr>
                      <w:t xml:space="preserve"> ( </w:t>
                    </w:r>
                    <w:r w:rsidRPr="00311342">
                      <w:rPr>
                        <w:rFonts w:ascii="Tahoma" w:eastAsia="Times New Roman" w:hAnsi="Tahoma" w:cs="Tahoma"/>
                        <w:color w:val="1773B9"/>
                        <w:sz w:val="12"/>
                      </w:rPr>
                      <w:pict/>
                    </w:r>
                    <w:r w:rsidRPr="00311342">
                      <w:rPr>
                        <w:rFonts w:ascii="Tahoma" w:eastAsia="Times New Roman" w:hAnsi="Tahoma" w:cs="Tahoma"/>
                        <w:color w:val="1773B9"/>
                        <w:sz w:val="12"/>
                      </w:rPr>
                      <w:t xml:space="preserve">1) </w:t>
                    </w:r>
                  </w:hyperlink>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Pr>
                    <w:t> </w:t>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Pr>
                      <w:rFonts w:ascii="Tahoma" w:eastAsia="Times New Roman" w:hAnsi="Tahoma" w:cs="Tahoma"/>
                      <w:noProof/>
                      <w:color w:val="9D9D9D"/>
                      <w:sz w:val="12"/>
                      <w:szCs w:val="12"/>
                    </w:rPr>
                    <w:drawing>
                      <wp:inline distT="0" distB="0" distL="0" distR="0">
                        <wp:extent cx="118110" cy="140335"/>
                        <wp:effectExtent l="19050" t="0" r="0" b="0"/>
                        <wp:docPr id="4" name="Picture 4" descr="لینک دائ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لینک دائم"/>
                                <pic:cNvPicPr>
                                  <a:picLocks noChangeAspect="1" noChangeArrowheads="1"/>
                                </pic:cNvPicPr>
                              </pic:nvPicPr>
                              <pic:blipFill>
                                <a:blip r:embed="rId8"/>
                                <a:srcRect/>
                                <a:stretch>
                                  <a:fillRect/>
                                </a:stretch>
                              </pic:blipFill>
                              <pic:spPr bwMode="auto">
                                <a:xfrm>
                                  <a:off x="0" y="0"/>
                                  <a:ext cx="118110" cy="140335"/>
                                </a:xfrm>
                                <a:prstGeom prst="rect">
                                  <a:avLst/>
                                </a:prstGeom>
                                <a:noFill/>
                                <a:ln w="9525">
                                  <a:noFill/>
                                  <a:miter lim="800000"/>
                                  <a:headEnd/>
                                  <a:tailEnd/>
                                </a:ln>
                              </pic:spPr>
                            </pic:pic>
                          </a:graphicData>
                        </a:graphic>
                      </wp:inline>
                    </w:drawing>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tl/>
                    </w:rPr>
                    <w:t>نویسنده</w:t>
                  </w:r>
                  <w:r w:rsidRPr="00311342">
                    <w:rPr>
                      <w:rFonts w:ascii="Tahoma" w:eastAsia="Times New Roman" w:hAnsi="Tahoma" w:cs="Tahoma"/>
                      <w:color w:val="9D9D9D"/>
                      <w:sz w:val="12"/>
                      <w:szCs w:val="12"/>
                    </w:rPr>
                    <w:t xml:space="preserve">: </w:t>
                  </w:r>
                  <w:hyperlink r:id="rId9" w:history="1">
                    <w:r w:rsidRPr="00311342">
                      <w:rPr>
                        <w:rFonts w:ascii="Tahoma" w:eastAsia="Times New Roman" w:hAnsi="Tahoma" w:cs="Tahoma"/>
                        <w:color w:val="1773B9"/>
                        <w:sz w:val="12"/>
                        <w:rtl/>
                      </w:rPr>
                      <w:t>حسینعلی اکبری</w:t>
                    </w:r>
                    <w:r w:rsidRPr="00311342">
                      <w:rPr>
                        <w:rFonts w:ascii="Tahoma" w:eastAsia="Times New Roman" w:hAnsi="Tahoma" w:cs="Tahoma"/>
                        <w:color w:val="1773B9"/>
                        <w:sz w:val="12"/>
                      </w:rPr>
                      <w:t xml:space="preserve"> </w:t>
                    </w:r>
                    <w:r w:rsidRPr="00311342">
                      <w:rPr>
                        <w:rFonts w:ascii="Tahoma" w:eastAsia="Times New Roman" w:hAnsi="Tahoma" w:cs="Tahoma"/>
                        <w:color w:val="1773B9"/>
                        <w:sz w:val="12"/>
                        <w:rtl/>
                      </w:rPr>
                      <w:t>قهدریجانی</w:t>
                    </w:r>
                  </w:hyperlink>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Pr>
                    <w:t> </w:t>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Pr>
                    <w:t> </w:t>
                  </w:r>
                </w:p>
              </w:tc>
            </w:tr>
          </w:tbl>
          <w:p w:rsidR="00311342" w:rsidRPr="00311342" w:rsidRDefault="00311342" w:rsidP="00311342">
            <w:pPr>
              <w:bidi/>
              <w:spacing w:after="0" w:line="240" w:lineRule="auto"/>
              <w:rPr>
                <w:rFonts w:ascii="Tahoma" w:eastAsia="Times New Roman" w:hAnsi="Tahoma" w:cs="Tahoma"/>
                <w:color w:val="9D9D9D"/>
                <w:sz w:val="10"/>
                <w:szCs w:val="10"/>
              </w:rPr>
            </w:pPr>
          </w:p>
        </w:tc>
        <w:tc>
          <w:tcPr>
            <w:tcW w:w="115" w:type="dxa"/>
            <w:tcMar>
              <w:top w:w="0" w:type="dxa"/>
              <w:left w:w="0" w:type="dxa"/>
              <w:bottom w:w="0" w:type="dxa"/>
              <w:right w:w="0" w:type="dxa"/>
            </w:tcMar>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r>
      <w:tr w:rsidR="00311342" w:rsidRPr="00311342" w:rsidTr="00311342">
        <w:tblPrEx>
          <w:tblCellMar>
            <w:left w:w="0" w:type="dxa"/>
            <w:right w:w="0" w:type="dxa"/>
          </w:tblCellMar>
        </w:tblPrEx>
        <w:trPr>
          <w:trHeight w:val="309"/>
          <w:tblCellSpacing w:w="0" w:type="dxa"/>
        </w:trPr>
        <w:tc>
          <w:tcPr>
            <w:tcW w:w="115"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0" w:type="auto"/>
            <w:gridSpan w:val="2"/>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hyperlink r:id="rId10" w:history="1">
              <w:r w:rsidRPr="00311342">
                <w:rPr>
                  <w:rFonts w:ascii="Times New Roman" w:eastAsia="Times New Roman" w:hAnsi="Times New Roman" w:cs="Times New Roman"/>
                  <w:b/>
                  <w:bCs/>
                  <w:color w:val="0C8CAD"/>
                  <w:szCs w:val="28"/>
                  <w:rtl/>
                </w:rPr>
                <w:t>پرتونگاری و حفاظت ...... ( قسمت سوم )</w:t>
              </w:r>
            </w:hyperlink>
            <w:r w:rsidRPr="00311342">
              <w:rPr>
                <w:rFonts w:ascii="Tahoma" w:eastAsia="Times New Roman" w:hAnsi="Tahoma" w:cs="Tahoma"/>
                <w:color w:val="9D9D9D"/>
                <w:sz w:val="12"/>
                <w:szCs w:val="12"/>
                <w:rtl/>
              </w:rPr>
              <w:t xml:space="preserve"> </w:t>
            </w:r>
          </w:p>
        </w:tc>
        <w:tc>
          <w:tcPr>
            <w:tcW w:w="115"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r>
    </w:tbl>
    <w:p w:rsidR="00311342" w:rsidRPr="00311342" w:rsidRDefault="00311342" w:rsidP="00311342">
      <w:pPr>
        <w:shd w:val="clear" w:color="auto" w:fill="474747"/>
        <w:spacing w:after="100" w:line="240" w:lineRule="auto"/>
        <w:rPr>
          <w:rFonts w:ascii="Tahoma" w:eastAsia="Times New Roman" w:hAnsi="Tahoma" w:cs="Tahoma"/>
          <w:vanish/>
          <w:color w:val="9D9D9D"/>
          <w:sz w:val="11"/>
          <w:szCs w:val="11"/>
          <w:lang/>
        </w:rPr>
      </w:pPr>
    </w:p>
    <w:tbl>
      <w:tblPr>
        <w:tblW w:w="5000" w:type="pct"/>
        <w:tblCellSpacing w:w="0" w:type="dxa"/>
        <w:tblCellMar>
          <w:left w:w="0" w:type="dxa"/>
          <w:right w:w="0" w:type="dxa"/>
        </w:tblCellMar>
        <w:tblLook w:val="04A0"/>
      </w:tblPr>
      <w:tblGrid>
        <w:gridCol w:w="44"/>
        <w:gridCol w:w="9289"/>
        <w:gridCol w:w="27"/>
      </w:tblGrid>
      <w:tr w:rsidR="00311342" w:rsidRPr="00311342" w:rsidTr="00311342">
        <w:trPr>
          <w:trHeight w:val="133"/>
          <w:tblCellSpacing w:w="0" w:type="dxa"/>
        </w:trPr>
        <w:tc>
          <w:tcPr>
            <w:tcW w:w="44"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0" w:type="auto"/>
            <w:vAlign w:val="center"/>
            <w:hideMark/>
          </w:tcPr>
          <w:p w:rsidR="00311342" w:rsidRPr="00311342" w:rsidRDefault="00311342" w:rsidP="00311342">
            <w:pPr>
              <w:bidi/>
              <w:spacing w:after="0" w:line="240" w:lineRule="auto"/>
              <w:jc w:val="right"/>
              <w:rPr>
                <w:rFonts w:ascii="Tahoma" w:eastAsia="Times New Roman" w:hAnsi="Tahoma" w:cs="Tahoma"/>
                <w:color w:val="A1B3C1"/>
                <w:sz w:val="8"/>
                <w:szCs w:val="8"/>
              </w:rPr>
            </w:pPr>
            <w:r w:rsidRPr="00311342">
              <w:rPr>
                <w:rFonts w:ascii="Tahoma" w:eastAsia="Times New Roman" w:hAnsi="Tahoma" w:cs="Tahoma"/>
                <w:color w:val="A1B3C1"/>
                <w:sz w:val="8"/>
                <w:szCs w:val="8"/>
                <w:rtl/>
              </w:rPr>
              <w:t xml:space="preserve">ساعت </w:t>
            </w:r>
            <w:r w:rsidRPr="00311342">
              <w:rPr>
                <w:rFonts w:ascii="Tahoma" w:eastAsia="Times New Roman" w:hAnsi="Tahoma" w:cs="Tahoma"/>
                <w:color w:val="A1B3C1"/>
                <w:sz w:val="8"/>
                <w:szCs w:val="8"/>
                <w:rtl/>
                <w:lang w:bidi="fa-IR"/>
              </w:rPr>
              <w:t>۱۱:۳</w:t>
            </w:r>
            <w:r w:rsidRPr="00311342">
              <w:rPr>
                <w:rFonts w:ascii="Tahoma" w:eastAsia="Times New Roman" w:hAnsi="Tahoma" w:cs="Tahoma"/>
                <w:color w:val="A1B3C1"/>
                <w:sz w:val="8"/>
                <w:szCs w:val="8"/>
                <w:rtl/>
              </w:rPr>
              <w:t xml:space="preserve">٦ </w:t>
            </w:r>
            <w:r w:rsidRPr="00311342">
              <w:rPr>
                <w:rFonts w:ascii="Tahoma" w:eastAsia="Times New Roman" w:hAnsi="Tahoma" w:cs="Tahoma"/>
                <w:color w:val="A1B3C1"/>
                <w:sz w:val="8"/>
                <w:szCs w:val="8"/>
                <w:cs/>
              </w:rPr>
              <w:t>‎</w:t>
            </w:r>
            <w:r w:rsidRPr="00311342">
              <w:rPr>
                <w:rFonts w:ascii="Tahoma" w:eastAsia="Times New Roman" w:hAnsi="Tahoma" w:cs="Tahoma"/>
                <w:color w:val="A1B3C1"/>
                <w:sz w:val="8"/>
                <w:szCs w:val="8"/>
                <w:rtl/>
              </w:rPr>
              <w:t xml:space="preserve">ق.ظ روز </w:t>
            </w:r>
            <w:r w:rsidRPr="00311342">
              <w:rPr>
                <w:rFonts w:ascii="Tahoma" w:eastAsia="Times New Roman" w:hAnsi="Tahoma" w:cs="Tahoma"/>
                <w:color w:val="A1B3C1"/>
                <w:sz w:val="8"/>
                <w:szCs w:val="8"/>
                <w:rtl/>
                <w:lang w:bidi="fa-IR"/>
              </w:rPr>
              <w:t>۱۳۸۸/</w:t>
            </w:r>
            <w:r w:rsidRPr="00311342">
              <w:rPr>
                <w:rFonts w:ascii="Tahoma" w:eastAsia="Times New Roman" w:hAnsi="Tahoma" w:cs="Tahoma"/>
                <w:color w:val="A1B3C1"/>
                <w:sz w:val="8"/>
                <w:szCs w:val="8"/>
                <w:rtl/>
              </w:rPr>
              <w:t>٤/٢٠  </w:t>
            </w:r>
          </w:p>
        </w:tc>
        <w:tc>
          <w:tcPr>
            <w:tcW w:w="27"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r>
    </w:tbl>
    <w:p w:rsidR="00311342" w:rsidRPr="00311342" w:rsidRDefault="00311342" w:rsidP="00311342">
      <w:pPr>
        <w:shd w:val="clear" w:color="auto" w:fill="474747"/>
        <w:spacing w:after="100" w:line="240" w:lineRule="auto"/>
        <w:rPr>
          <w:rFonts w:ascii="Tahoma" w:eastAsia="Times New Roman" w:hAnsi="Tahoma" w:cs="Tahoma"/>
          <w:vanish/>
          <w:color w:val="9D9D9D"/>
          <w:sz w:val="11"/>
          <w:szCs w:val="11"/>
          <w:lang/>
        </w:rPr>
      </w:pPr>
    </w:p>
    <w:tbl>
      <w:tblPr>
        <w:tblW w:w="4461" w:type="dxa"/>
        <w:tblCellSpacing w:w="0" w:type="dxa"/>
        <w:tblCellMar>
          <w:left w:w="989" w:type="dxa"/>
          <w:right w:w="989" w:type="dxa"/>
        </w:tblCellMar>
        <w:tblLook w:val="04A0"/>
      </w:tblPr>
      <w:tblGrid>
        <w:gridCol w:w="44"/>
        <w:gridCol w:w="4390"/>
        <w:gridCol w:w="27"/>
      </w:tblGrid>
      <w:tr w:rsidR="00311342" w:rsidRPr="00311342" w:rsidTr="00311342">
        <w:trPr>
          <w:tblCellSpacing w:w="0" w:type="dxa"/>
        </w:trPr>
        <w:tc>
          <w:tcPr>
            <w:tcW w:w="44" w:type="dxa"/>
            <w:tcMar>
              <w:top w:w="0" w:type="dxa"/>
              <w:left w:w="0" w:type="dxa"/>
              <w:bottom w:w="0" w:type="dxa"/>
              <w:right w:w="0" w:type="dxa"/>
            </w:tcMar>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0" w:type="auto"/>
            <w:tcMar>
              <w:top w:w="0" w:type="dxa"/>
              <w:left w:w="0" w:type="dxa"/>
              <w:bottom w:w="0" w:type="dxa"/>
              <w:right w:w="0" w:type="dxa"/>
            </w:tcMar>
            <w:vAlign w:val="center"/>
            <w:hideMark/>
          </w:tcPr>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00"/>
                <w:sz w:val="24"/>
                <w:szCs w:val="24"/>
              </w:rPr>
              <w:sym w:font="Wingdings 2" w:char="0096"/>
            </w:r>
            <w:r w:rsidRPr="00311342">
              <w:rPr>
                <w:rFonts w:ascii="Tahoma" w:eastAsia="Times New Roman" w:hAnsi="Tahoma" w:cs="Tahoma"/>
                <w:color w:val="FF0000"/>
                <w:sz w:val="24"/>
                <w:szCs w:val="24"/>
                <w:rtl/>
              </w:rPr>
              <w:t xml:space="preserve">    در نیروگاهها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در نیروگاهها عملیاتی که می تواند سلامتی کارکنان را تهدید نماید عملیات پرتونگاری است که جهت شناسائی نقاط خوردگی ، سوراخ شدگی و ... در واتر والوها ، لوله های آب بویلرها و ...  استفاده می گردد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با توجه به پرتو نگاری های متعدد در نیروگاهها و حفاظتی که باید در برابر پرتو ها انجام شود، جهت آگاهی کارکنان با پرتو، اطلاعات هر چند مختصر در مورد نحوه تولید پرتو ها و روش های اندازه گیری آنها و راههای حفاظت در برابر پرتو ها، لازم به نظر می رسد.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چنانچه گفته شد پرتو ها به چند دسته تقسیم می شوند :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در نیروگاه پرتو نگاری به وسیله اشعه گاما صورت می گیرد.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پرتو گاما : ناشی از تغییر تراز انرژی ذرات درون هسته ای می باشد.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پرتو گاما از جنس پرتو الکترو مغناطیسی </w:t>
            </w:r>
            <w:r w:rsidRPr="00311342">
              <w:rPr>
                <w:rFonts w:ascii="Tahoma" w:eastAsia="Times New Roman" w:hAnsi="Tahoma" w:cs="Tahoma"/>
                <w:color w:val="FF00FF"/>
                <w:sz w:val="24"/>
                <w:szCs w:val="24"/>
                <w:rtl/>
              </w:rPr>
              <w:lastRenderedPageBreak/>
              <w:t>است یعنی از بسته های انرژی به نام فوتون تشکیل شده است و بدون جرم و بدون بار الکتریکی می باشد.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هر گاه یک هسته مادر، هسته دختر را در حالت تحریکی یعنی ذرات هسته ای پروتون و نوترون روی تراز تحریکی قرار داشته باشند، تولید کند، در حالتی که هسته دختر روی زمینه قرار گیرد انرژی اضافی را به صورت تابش یا پرتو الکترو مغناطیسی گاما آزاد می کند.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نحوه تشکیل پرتو گاما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از معروفترین </w:t>
            </w:r>
            <w:r w:rsidRPr="00311342">
              <w:rPr>
                <w:rFonts w:ascii="Tahoma" w:eastAsia="Times New Roman" w:hAnsi="Tahoma" w:cs="Tahoma"/>
                <w:color w:val="FF00FF"/>
                <w:sz w:val="24"/>
                <w:szCs w:val="24"/>
              </w:rPr>
              <w:t xml:space="preserve">emitter </w:t>
            </w:r>
            <w:r w:rsidRPr="00311342">
              <w:rPr>
                <w:rFonts w:ascii="Tahoma" w:eastAsia="Times New Roman" w:hAnsi="Tahoma" w:cs="Tahoma"/>
                <w:color w:val="FF00FF"/>
                <w:sz w:val="24"/>
                <w:szCs w:val="24"/>
                <w:rtl/>
              </w:rPr>
              <w:t xml:space="preserve"> </w:t>
            </w:r>
            <w:r w:rsidRPr="00311342">
              <w:rPr>
                <w:rFonts w:ascii="Tahoma" w:eastAsia="Times New Roman" w:hAnsi="Tahoma" w:cs="Tahoma"/>
                <w:color w:val="FF00FF"/>
                <w:sz w:val="24"/>
                <w:szCs w:val="24"/>
              </w:rPr>
              <w:t xml:space="preserve"> </w:t>
            </w:r>
            <w:r w:rsidRPr="00311342">
              <w:rPr>
                <w:rFonts w:ascii="Tahoma" w:eastAsia="Times New Roman" w:hAnsi="Tahoma" w:cs="Tahoma"/>
                <w:color w:val="FF00FF"/>
                <w:sz w:val="24"/>
                <w:szCs w:val="24"/>
                <w:rtl/>
              </w:rPr>
              <w:t xml:space="preserve"> کبالت 60 می باشد.</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نمودار نحوه تولید گاما و مقدار انرژی آزاد شده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و نیز گاهی که اکثر واپاشی های با تابش گاما همراه است.</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44"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جدول مقایسه جرم، بار الکتریکی و مقدار نفوذ پرتو های مختلف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3"/>
              <w:gridCol w:w="1006"/>
              <w:gridCol w:w="1558"/>
              <w:gridCol w:w="903"/>
            </w:tblGrid>
            <w:tr w:rsidR="00311342" w:rsidRPr="00311342" w:rsidTr="00311342">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نام پرتو</w:t>
                  </w: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جرم</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بار الکتریکی</w:t>
                  </w:r>
                </w:p>
              </w:tc>
              <w:tc>
                <w:tcPr>
                  <w:tcW w:w="1864"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نفوذ</w:t>
                  </w:r>
                </w:p>
              </w:tc>
            </w:tr>
            <w:tr w:rsidR="00311342" w:rsidRPr="00311342" w:rsidTr="00311342">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proofErr w:type="spellStart"/>
                  <w:r w:rsidRPr="00311342">
                    <w:rPr>
                      <w:rFonts w:ascii="Tahoma" w:eastAsia="Times New Roman" w:hAnsi="Tahoma" w:cs="Tahoma"/>
                      <w:color w:val="FF00FF"/>
                      <w:sz w:val="24"/>
                      <w:szCs w:val="24"/>
                    </w:rPr>
                    <w:t>Mn</w:t>
                  </w:r>
                  <w:proofErr w:type="spellEnd"/>
                  <w:r w:rsidRPr="00311342">
                    <w:rPr>
                      <w:rFonts w:ascii="Tahoma" w:eastAsia="Times New Roman" w:hAnsi="Tahoma" w:cs="Tahoma"/>
                      <w:color w:val="FF00FF"/>
                      <w:sz w:val="24"/>
                      <w:szCs w:val="24"/>
                      <w:rtl/>
                    </w:rPr>
                    <w:t xml:space="preserve"> 2+ </w:t>
                  </w:r>
                  <w:r w:rsidRPr="00311342">
                    <w:rPr>
                      <w:rFonts w:ascii="Tahoma" w:eastAsia="Times New Roman" w:hAnsi="Tahoma" w:cs="Tahoma"/>
                      <w:color w:val="FF00FF"/>
                      <w:sz w:val="24"/>
                      <w:szCs w:val="24"/>
                    </w:rPr>
                    <w:t>mp</w:t>
                  </w:r>
                  <w:r w:rsidRPr="00311342">
                    <w:rPr>
                      <w:rFonts w:ascii="Tahoma" w:eastAsia="Times New Roman" w:hAnsi="Tahoma" w:cs="Tahoma"/>
                      <w:color w:val="FF00FF"/>
                      <w:sz w:val="24"/>
                      <w:szCs w:val="24"/>
                      <w:rtl/>
                    </w:rPr>
                    <w:t xml:space="preserve"> 2</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proofErr w:type="spellStart"/>
                  <w:r w:rsidRPr="00311342">
                    <w:rPr>
                      <w:rFonts w:ascii="Tahoma" w:eastAsia="Times New Roman" w:hAnsi="Tahoma" w:cs="Tahoma"/>
                      <w:color w:val="FF00FF"/>
                      <w:sz w:val="24"/>
                      <w:szCs w:val="24"/>
                    </w:rPr>
                    <w:t>amu</w:t>
                  </w:r>
                  <w:proofErr w:type="spellEnd"/>
                  <w:r w:rsidRPr="00311342">
                    <w:rPr>
                      <w:rFonts w:ascii="Tahoma" w:eastAsia="Times New Roman" w:hAnsi="Tahoma" w:cs="Tahoma"/>
                      <w:color w:val="FF00FF"/>
                      <w:sz w:val="24"/>
                      <w:szCs w:val="24"/>
                      <w:rtl/>
                    </w:rPr>
                    <w:t xml:space="preserve"> 4 </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w:t>
                  </w:r>
                </w:p>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کولن 19-10×6/1×2</w:t>
                  </w:r>
                </w:p>
              </w:tc>
              <w:tc>
                <w:tcPr>
                  <w:tcW w:w="1864"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کم</w:t>
                  </w:r>
                </w:p>
              </w:tc>
            </w:tr>
            <w:tr w:rsidR="00311342" w:rsidRPr="00311342" w:rsidTr="00311342">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Pr>
                    <w:t>Me</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w:t>
                  </w:r>
                </w:p>
              </w:tc>
              <w:tc>
                <w:tcPr>
                  <w:tcW w:w="1864"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 </w:t>
                  </w:r>
                </w:p>
              </w:tc>
            </w:tr>
            <w:tr w:rsidR="00311342" w:rsidRPr="00311342" w:rsidTr="00311342">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Pr>
                    <w:t>Me</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w:t>
                  </w:r>
                </w:p>
              </w:tc>
              <w:tc>
                <w:tcPr>
                  <w:tcW w:w="1864"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 </w:t>
                  </w:r>
                </w:p>
              </w:tc>
            </w:tr>
            <w:tr w:rsidR="00311342" w:rsidRPr="00311342" w:rsidTr="00311342">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 xml:space="preserve"> یا </w:t>
                  </w: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Pr>
                    <w:t>0</w:t>
                  </w:r>
                </w:p>
              </w:tc>
              <w:tc>
                <w:tcPr>
                  <w:tcW w:w="2398"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Pr>
                    <w:t>0</w:t>
                  </w:r>
                </w:p>
              </w:tc>
              <w:tc>
                <w:tcPr>
                  <w:tcW w:w="1864" w:type="dxa"/>
                  <w:tcBorders>
                    <w:top w:val="single" w:sz="4" w:space="0" w:color="auto"/>
                    <w:left w:val="single" w:sz="4" w:space="0" w:color="auto"/>
                    <w:bottom w:val="single" w:sz="4" w:space="0" w:color="auto"/>
                    <w:right w:val="single" w:sz="4" w:space="0" w:color="auto"/>
                  </w:tcBorders>
                  <w:shd w:val="clear" w:color="auto" w:fill="auto"/>
                  <w:hideMark/>
                </w:tcPr>
                <w:p w:rsidR="00311342" w:rsidRPr="00311342" w:rsidRDefault="00311342" w:rsidP="00311342">
                  <w:pPr>
                    <w:shd w:val="clear" w:color="auto" w:fill="FFFFFF"/>
                    <w:bidi/>
                    <w:spacing w:after="0" w:line="240" w:lineRule="auto"/>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زیاد</w:t>
                  </w:r>
                </w:p>
              </w:tc>
            </w:tr>
          </w:tbl>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lastRenderedPageBreak/>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بیشترین نفوذ را پرتو های دارند و با سرب می توان آنها را مهار کرد و اگر ضخامت سرب زیاد باشد باید از بتن استفاده کرد.            </w:t>
            </w:r>
            <w:r w:rsidRPr="00311342">
              <w:rPr>
                <w:rFonts w:ascii="Tahoma" w:eastAsia="Times New Roman" w:hAnsi="Tahoma" w:cs="Tahoma"/>
                <w:color w:val="000000"/>
                <w:sz w:val="24"/>
                <w:szCs w:val="24"/>
                <w:rtl/>
              </w:rPr>
              <w:t>ادامه دارد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bidi/>
              <w:spacing w:after="44" w:line="360" w:lineRule="atLeast"/>
              <w:rPr>
                <w:rFonts w:ascii="Tahoma" w:eastAsia="Times New Roman" w:hAnsi="Tahoma" w:cs="Tahoma"/>
                <w:color w:val="9D9D9D"/>
                <w:sz w:val="12"/>
                <w:szCs w:val="12"/>
                <w:rtl/>
              </w:rPr>
            </w:pPr>
          </w:p>
          <w:p w:rsidR="00311342" w:rsidRPr="00311342" w:rsidRDefault="00311342" w:rsidP="00311342">
            <w:pPr>
              <w:bidi/>
              <w:spacing w:after="44" w:line="360" w:lineRule="atLeast"/>
              <w:rPr>
                <w:rFonts w:ascii="Tahoma" w:eastAsia="Times New Roman" w:hAnsi="Tahoma" w:cs="Tahoma"/>
                <w:color w:val="9D9D9D"/>
                <w:sz w:val="8"/>
                <w:szCs w:val="8"/>
              </w:rPr>
            </w:pPr>
            <w:r w:rsidRPr="00311342">
              <w:rPr>
                <w:rFonts w:ascii="Tahoma" w:eastAsia="Times New Roman" w:hAnsi="Tahoma" w:cs="Tahoma"/>
                <w:color w:val="9D9D9D"/>
                <w:sz w:val="8"/>
                <w:szCs w:val="8"/>
                <w:rtl/>
              </w:rPr>
              <w:t xml:space="preserve">کلمات کلیدی: </w:t>
            </w:r>
          </w:p>
        </w:tc>
        <w:tc>
          <w:tcPr>
            <w:tcW w:w="27" w:type="dxa"/>
            <w:tcMar>
              <w:top w:w="0" w:type="dxa"/>
              <w:left w:w="0" w:type="dxa"/>
              <w:bottom w:w="0" w:type="dxa"/>
              <w:right w:w="0" w:type="dxa"/>
            </w:tcMar>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r>
    </w:tbl>
    <w:p w:rsidR="00311342" w:rsidRPr="00311342" w:rsidRDefault="00311342" w:rsidP="00311342">
      <w:pPr>
        <w:shd w:val="clear" w:color="auto" w:fill="474747"/>
        <w:spacing w:after="100" w:line="240" w:lineRule="auto"/>
        <w:rPr>
          <w:rFonts w:ascii="Tahoma" w:eastAsia="Times New Roman" w:hAnsi="Tahoma" w:cs="Tahoma"/>
          <w:vanish/>
          <w:color w:val="9D9D9D"/>
          <w:sz w:val="11"/>
          <w:szCs w:val="11"/>
          <w:lang/>
        </w:rPr>
      </w:pPr>
    </w:p>
    <w:tbl>
      <w:tblPr>
        <w:tblW w:w="5000" w:type="pct"/>
        <w:tblCellSpacing w:w="0" w:type="dxa"/>
        <w:tblCellMar>
          <w:left w:w="989" w:type="dxa"/>
          <w:right w:w="989" w:type="dxa"/>
        </w:tblCellMar>
        <w:tblLook w:val="04A0"/>
      </w:tblPr>
      <w:tblGrid>
        <w:gridCol w:w="124"/>
        <w:gridCol w:w="9121"/>
        <w:gridCol w:w="115"/>
      </w:tblGrid>
      <w:tr w:rsidR="00311342" w:rsidRPr="00311342" w:rsidTr="00311342">
        <w:trPr>
          <w:trHeight w:val="265"/>
          <w:tblCellSpacing w:w="0" w:type="dxa"/>
        </w:trPr>
        <w:tc>
          <w:tcPr>
            <w:tcW w:w="124" w:type="dxa"/>
            <w:tcMar>
              <w:top w:w="0" w:type="dxa"/>
              <w:left w:w="0" w:type="dxa"/>
              <w:bottom w:w="0" w:type="dxa"/>
              <w:right w:w="0" w:type="dxa"/>
            </w:tcMar>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0" w:type="auto"/>
            <w:tcMar>
              <w:top w:w="0" w:type="dxa"/>
              <w:left w:w="0" w:type="dxa"/>
              <w:bottom w:w="0" w:type="dxa"/>
              <w:right w:w="0" w:type="dxa"/>
            </w:tcMar>
            <w:vAlign w:val="center"/>
            <w:hideMark/>
          </w:tcPr>
          <w:tbl>
            <w:tblPr>
              <w:bidiVisual/>
              <w:tblW w:w="5000" w:type="pct"/>
              <w:tblCellSpacing w:w="15" w:type="dxa"/>
              <w:tblCellMar>
                <w:top w:w="15" w:type="dxa"/>
                <w:left w:w="15" w:type="dxa"/>
                <w:bottom w:w="15" w:type="dxa"/>
                <w:right w:w="15" w:type="dxa"/>
              </w:tblCellMar>
              <w:tblLook w:val="04A0"/>
            </w:tblPr>
            <w:tblGrid>
              <w:gridCol w:w="419"/>
              <w:gridCol w:w="1263"/>
              <w:gridCol w:w="123"/>
              <w:gridCol w:w="403"/>
              <w:gridCol w:w="1941"/>
              <w:gridCol w:w="123"/>
              <w:gridCol w:w="368"/>
              <w:gridCol w:w="4220"/>
              <w:gridCol w:w="123"/>
              <w:gridCol w:w="138"/>
            </w:tblGrid>
            <w:tr w:rsidR="00311342" w:rsidRPr="00311342" w:rsidTr="00311342">
              <w:trPr>
                <w:tblCellSpacing w:w="15" w:type="dxa"/>
              </w:trPr>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Pr>
                      <w:rFonts w:ascii="Tahoma" w:eastAsia="Times New Roman" w:hAnsi="Tahoma" w:cs="Tahoma"/>
                      <w:noProof/>
                      <w:color w:val="9D9D9D"/>
                      <w:sz w:val="12"/>
                      <w:szCs w:val="12"/>
                    </w:rPr>
                    <w:drawing>
                      <wp:inline distT="0" distB="0" distL="0" distR="0">
                        <wp:extent cx="134620" cy="140335"/>
                        <wp:effectExtent l="19050" t="0" r="0" b="0"/>
                        <wp:docPr id="5" name="Picture 5" descr="لینک دائ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لینک دائم"/>
                                <pic:cNvPicPr>
                                  <a:picLocks noChangeAspect="1" noChangeArrowheads="1"/>
                                </pic:cNvPicPr>
                              </pic:nvPicPr>
                              <pic:blipFill>
                                <a:blip r:embed="rId4"/>
                                <a:srcRect/>
                                <a:stretch>
                                  <a:fillRect/>
                                </a:stretch>
                              </pic:blipFill>
                              <pic:spPr bwMode="auto">
                                <a:xfrm>
                                  <a:off x="0" y="0"/>
                                  <a:ext cx="134620" cy="140335"/>
                                </a:xfrm>
                                <a:prstGeom prst="rect">
                                  <a:avLst/>
                                </a:prstGeom>
                                <a:noFill/>
                                <a:ln w="9525">
                                  <a:noFill/>
                                  <a:miter lim="800000"/>
                                  <a:headEnd/>
                                  <a:tailEnd/>
                                </a:ln>
                              </pic:spPr>
                            </pic:pic>
                          </a:graphicData>
                        </a:graphic>
                      </wp:inline>
                    </w:drawing>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hyperlink r:id="rId11" w:history="1">
                    <w:r w:rsidRPr="00311342">
                      <w:rPr>
                        <w:rFonts w:ascii="Tahoma" w:eastAsia="Times New Roman" w:hAnsi="Tahoma" w:cs="Tahoma"/>
                        <w:color w:val="1773B9"/>
                        <w:sz w:val="12"/>
                        <w:rtl/>
                      </w:rPr>
                      <w:t>لینک دائم</w:t>
                    </w:r>
                  </w:hyperlink>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Pr>
                    <w:t> </w:t>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Pr>
                      <w:rFonts w:ascii="Tahoma" w:eastAsia="Times New Roman" w:hAnsi="Tahoma" w:cs="Tahoma"/>
                      <w:noProof/>
                      <w:color w:val="9D9D9D"/>
                      <w:sz w:val="12"/>
                      <w:szCs w:val="12"/>
                    </w:rPr>
                    <w:drawing>
                      <wp:inline distT="0" distB="0" distL="0" distR="0">
                        <wp:extent cx="134620" cy="140335"/>
                        <wp:effectExtent l="19050" t="0" r="0" b="0"/>
                        <wp:docPr id="6" name="Picture 6" descr="لینک دائ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لینک دائم"/>
                                <pic:cNvPicPr>
                                  <a:picLocks noChangeAspect="1" noChangeArrowheads="1"/>
                                </pic:cNvPicPr>
                              </pic:nvPicPr>
                              <pic:blipFill>
                                <a:blip r:embed="rId6"/>
                                <a:srcRect/>
                                <a:stretch>
                                  <a:fillRect/>
                                </a:stretch>
                              </pic:blipFill>
                              <pic:spPr bwMode="auto">
                                <a:xfrm>
                                  <a:off x="0" y="0"/>
                                  <a:ext cx="134620" cy="140335"/>
                                </a:xfrm>
                                <a:prstGeom prst="rect">
                                  <a:avLst/>
                                </a:prstGeom>
                                <a:noFill/>
                                <a:ln w="9525">
                                  <a:noFill/>
                                  <a:miter lim="800000"/>
                                  <a:headEnd/>
                                  <a:tailEnd/>
                                </a:ln>
                              </pic:spPr>
                            </pic:pic>
                          </a:graphicData>
                        </a:graphic>
                      </wp:inline>
                    </w:drawing>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hyperlink r:id="rId12" w:tooltip="Comments" w:history="1">
                    <w:r w:rsidRPr="00311342">
                      <w:rPr>
                        <w:rFonts w:ascii="Tahoma" w:eastAsia="Times New Roman" w:hAnsi="Tahoma" w:cs="Tahoma"/>
                        <w:color w:val="1773B9"/>
                        <w:sz w:val="12"/>
                        <w:rtl/>
                      </w:rPr>
                      <w:t>نظر شما</w:t>
                    </w:r>
                    <w:r w:rsidRPr="00311342">
                      <w:rPr>
                        <w:rFonts w:ascii="Tahoma" w:eastAsia="Times New Roman" w:hAnsi="Tahoma" w:cs="Tahoma"/>
                        <w:color w:val="1773B9"/>
                        <w:sz w:val="12"/>
                      </w:rPr>
                      <w:t xml:space="preserve"> ( </w:t>
                    </w:r>
                    <w:r w:rsidRPr="00311342">
                      <w:rPr>
                        <w:rFonts w:ascii="Tahoma" w:eastAsia="Times New Roman" w:hAnsi="Tahoma" w:cs="Tahoma"/>
                        <w:color w:val="1773B9"/>
                        <w:sz w:val="12"/>
                      </w:rPr>
                      <w:pict/>
                    </w:r>
                    <w:r w:rsidRPr="00311342">
                      <w:rPr>
                        <w:rFonts w:ascii="Tahoma" w:eastAsia="Times New Roman" w:hAnsi="Tahoma" w:cs="Tahoma"/>
                        <w:color w:val="1773B9"/>
                        <w:sz w:val="12"/>
                      </w:rPr>
                      <w:t xml:space="preserve">0) </w:t>
                    </w:r>
                  </w:hyperlink>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Pr>
                    <w:t> </w:t>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Pr>
                      <w:rFonts w:ascii="Tahoma" w:eastAsia="Times New Roman" w:hAnsi="Tahoma" w:cs="Tahoma"/>
                      <w:noProof/>
                      <w:color w:val="9D9D9D"/>
                      <w:sz w:val="12"/>
                      <w:szCs w:val="12"/>
                    </w:rPr>
                    <w:drawing>
                      <wp:inline distT="0" distB="0" distL="0" distR="0">
                        <wp:extent cx="118110" cy="140335"/>
                        <wp:effectExtent l="19050" t="0" r="0" b="0"/>
                        <wp:docPr id="8" name="Picture 8" descr="لینک دائ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لینک دائم"/>
                                <pic:cNvPicPr>
                                  <a:picLocks noChangeAspect="1" noChangeArrowheads="1"/>
                                </pic:cNvPicPr>
                              </pic:nvPicPr>
                              <pic:blipFill>
                                <a:blip r:embed="rId8"/>
                                <a:srcRect/>
                                <a:stretch>
                                  <a:fillRect/>
                                </a:stretch>
                              </pic:blipFill>
                              <pic:spPr bwMode="auto">
                                <a:xfrm>
                                  <a:off x="0" y="0"/>
                                  <a:ext cx="118110" cy="140335"/>
                                </a:xfrm>
                                <a:prstGeom prst="rect">
                                  <a:avLst/>
                                </a:prstGeom>
                                <a:noFill/>
                                <a:ln w="9525">
                                  <a:noFill/>
                                  <a:miter lim="800000"/>
                                  <a:headEnd/>
                                  <a:tailEnd/>
                                </a:ln>
                              </pic:spPr>
                            </pic:pic>
                          </a:graphicData>
                        </a:graphic>
                      </wp:inline>
                    </w:drawing>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tl/>
                    </w:rPr>
                    <w:t>نویسنده</w:t>
                  </w:r>
                  <w:r w:rsidRPr="00311342">
                    <w:rPr>
                      <w:rFonts w:ascii="Tahoma" w:eastAsia="Times New Roman" w:hAnsi="Tahoma" w:cs="Tahoma"/>
                      <w:color w:val="9D9D9D"/>
                      <w:sz w:val="12"/>
                      <w:szCs w:val="12"/>
                    </w:rPr>
                    <w:t xml:space="preserve">: </w:t>
                  </w:r>
                  <w:hyperlink r:id="rId13" w:history="1">
                    <w:r w:rsidRPr="00311342">
                      <w:rPr>
                        <w:rFonts w:ascii="Tahoma" w:eastAsia="Times New Roman" w:hAnsi="Tahoma" w:cs="Tahoma"/>
                        <w:color w:val="1773B9"/>
                        <w:sz w:val="12"/>
                        <w:rtl/>
                      </w:rPr>
                      <w:t>حسینعلی اکبری</w:t>
                    </w:r>
                    <w:r w:rsidRPr="00311342">
                      <w:rPr>
                        <w:rFonts w:ascii="Tahoma" w:eastAsia="Times New Roman" w:hAnsi="Tahoma" w:cs="Tahoma"/>
                        <w:color w:val="1773B9"/>
                        <w:sz w:val="12"/>
                      </w:rPr>
                      <w:t xml:space="preserve"> </w:t>
                    </w:r>
                    <w:r w:rsidRPr="00311342">
                      <w:rPr>
                        <w:rFonts w:ascii="Tahoma" w:eastAsia="Times New Roman" w:hAnsi="Tahoma" w:cs="Tahoma"/>
                        <w:color w:val="1773B9"/>
                        <w:sz w:val="12"/>
                        <w:rtl/>
                      </w:rPr>
                      <w:t>قهدریجانی</w:t>
                    </w:r>
                  </w:hyperlink>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Pr>
                    <w:t> </w:t>
                  </w: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r w:rsidRPr="00311342">
                    <w:rPr>
                      <w:rFonts w:ascii="Tahoma" w:eastAsia="Times New Roman" w:hAnsi="Tahoma" w:cs="Tahoma"/>
                      <w:color w:val="9D9D9D"/>
                      <w:sz w:val="12"/>
                      <w:szCs w:val="12"/>
                    </w:rPr>
                    <w:t> </w:t>
                  </w:r>
                </w:p>
              </w:tc>
            </w:tr>
          </w:tbl>
          <w:p w:rsidR="00311342" w:rsidRPr="00311342" w:rsidRDefault="00311342" w:rsidP="00311342">
            <w:pPr>
              <w:bidi/>
              <w:spacing w:after="0" w:line="240" w:lineRule="auto"/>
              <w:rPr>
                <w:rFonts w:ascii="Tahoma" w:eastAsia="Times New Roman" w:hAnsi="Tahoma" w:cs="Tahoma"/>
                <w:color w:val="9D9D9D"/>
                <w:sz w:val="10"/>
                <w:szCs w:val="10"/>
              </w:rPr>
            </w:pPr>
          </w:p>
        </w:tc>
        <w:tc>
          <w:tcPr>
            <w:tcW w:w="115" w:type="dxa"/>
            <w:tcMar>
              <w:top w:w="0" w:type="dxa"/>
              <w:left w:w="0" w:type="dxa"/>
              <w:bottom w:w="0" w:type="dxa"/>
              <w:right w:w="0" w:type="dxa"/>
            </w:tcMar>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r>
    </w:tbl>
    <w:p w:rsidR="00311342" w:rsidRPr="00311342" w:rsidRDefault="00311342" w:rsidP="00311342">
      <w:pPr>
        <w:shd w:val="clear" w:color="auto" w:fill="474747"/>
        <w:spacing w:after="100" w:line="240" w:lineRule="auto"/>
        <w:rPr>
          <w:rFonts w:ascii="Tahoma" w:eastAsia="Times New Roman" w:hAnsi="Tahoma" w:cs="Tahoma"/>
          <w:vanish/>
          <w:color w:val="9D9D9D"/>
          <w:sz w:val="11"/>
          <w:szCs w:val="11"/>
          <w:lang/>
        </w:rPr>
      </w:pPr>
    </w:p>
    <w:tbl>
      <w:tblPr>
        <w:tblW w:w="5000" w:type="pct"/>
        <w:tblCellSpacing w:w="0" w:type="dxa"/>
        <w:tblCellMar>
          <w:left w:w="0" w:type="dxa"/>
          <w:right w:w="0" w:type="dxa"/>
        </w:tblCellMar>
        <w:tblLook w:val="04A0"/>
      </w:tblPr>
      <w:tblGrid>
        <w:gridCol w:w="115"/>
        <w:gridCol w:w="9130"/>
        <w:gridCol w:w="115"/>
      </w:tblGrid>
      <w:tr w:rsidR="00311342" w:rsidRPr="00311342" w:rsidTr="00311342">
        <w:trPr>
          <w:trHeight w:val="309"/>
          <w:tblCellSpacing w:w="0" w:type="dxa"/>
        </w:trPr>
        <w:tc>
          <w:tcPr>
            <w:tcW w:w="115"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0" w:type="auto"/>
            <w:vAlign w:val="center"/>
            <w:hideMark/>
          </w:tcPr>
          <w:p w:rsidR="00311342" w:rsidRPr="00311342" w:rsidRDefault="00311342" w:rsidP="00311342">
            <w:pPr>
              <w:bidi/>
              <w:spacing w:after="0" w:line="240" w:lineRule="auto"/>
              <w:rPr>
                <w:rFonts w:ascii="Tahoma" w:eastAsia="Times New Roman" w:hAnsi="Tahoma" w:cs="Tahoma"/>
                <w:color w:val="9D9D9D"/>
                <w:sz w:val="12"/>
                <w:szCs w:val="12"/>
              </w:rPr>
            </w:pPr>
            <w:hyperlink r:id="rId14" w:history="1">
              <w:r w:rsidRPr="00311342">
                <w:rPr>
                  <w:rFonts w:ascii="Times New Roman" w:eastAsia="Times New Roman" w:hAnsi="Times New Roman" w:cs="Times New Roman"/>
                  <w:b/>
                  <w:bCs/>
                  <w:color w:val="0C8CAD"/>
                  <w:szCs w:val="28"/>
                  <w:rtl/>
                </w:rPr>
                <w:t>پرتونگاری و حفاظت ...... ( قسمت دوم )</w:t>
              </w:r>
            </w:hyperlink>
            <w:r w:rsidRPr="00311342">
              <w:rPr>
                <w:rFonts w:ascii="Tahoma" w:eastAsia="Times New Roman" w:hAnsi="Tahoma" w:cs="Tahoma"/>
                <w:color w:val="9D9D9D"/>
                <w:sz w:val="12"/>
                <w:szCs w:val="12"/>
                <w:rtl/>
              </w:rPr>
              <w:t xml:space="preserve"> </w:t>
            </w:r>
          </w:p>
        </w:tc>
        <w:tc>
          <w:tcPr>
            <w:tcW w:w="115"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r>
    </w:tbl>
    <w:p w:rsidR="00311342" w:rsidRPr="00311342" w:rsidRDefault="00311342" w:rsidP="00311342">
      <w:pPr>
        <w:shd w:val="clear" w:color="auto" w:fill="474747"/>
        <w:spacing w:after="100" w:line="240" w:lineRule="auto"/>
        <w:rPr>
          <w:rFonts w:ascii="Tahoma" w:eastAsia="Times New Roman" w:hAnsi="Tahoma" w:cs="Tahoma"/>
          <w:vanish/>
          <w:color w:val="9D9D9D"/>
          <w:sz w:val="11"/>
          <w:szCs w:val="11"/>
          <w:lang/>
        </w:rPr>
      </w:pPr>
    </w:p>
    <w:tbl>
      <w:tblPr>
        <w:tblW w:w="5000" w:type="pct"/>
        <w:tblCellSpacing w:w="0" w:type="dxa"/>
        <w:tblCellMar>
          <w:left w:w="0" w:type="dxa"/>
          <w:right w:w="0" w:type="dxa"/>
        </w:tblCellMar>
        <w:tblLook w:val="04A0"/>
      </w:tblPr>
      <w:tblGrid>
        <w:gridCol w:w="44"/>
        <w:gridCol w:w="9289"/>
        <w:gridCol w:w="27"/>
      </w:tblGrid>
      <w:tr w:rsidR="00311342" w:rsidRPr="00311342" w:rsidTr="00311342">
        <w:trPr>
          <w:trHeight w:val="133"/>
          <w:tblCellSpacing w:w="0" w:type="dxa"/>
        </w:trPr>
        <w:tc>
          <w:tcPr>
            <w:tcW w:w="44"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0" w:type="auto"/>
            <w:vAlign w:val="center"/>
            <w:hideMark/>
          </w:tcPr>
          <w:p w:rsidR="00311342" w:rsidRPr="00311342" w:rsidRDefault="00311342" w:rsidP="00311342">
            <w:pPr>
              <w:bidi/>
              <w:spacing w:after="0" w:line="240" w:lineRule="auto"/>
              <w:jc w:val="right"/>
              <w:rPr>
                <w:rFonts w:ascii="Tahoma" w:eastAsia="Times New Roman" w:hAnsi="Tahoma" w:cs="Tahoma"/>
                <w:color w:val="A1B3C1"/>
                <w:sz w:val="8"/>
                <w:szCs w:val="8"/>
              </w:rPr>
            </w:pPr>
            <w:r w:rsidRPr="00311342">
              <w:rPr>
                <w:rFonts w:ascii="Tahoma" w:eastAsia="Times New Roman" w:hAnsi="Tahoma" w:cs="Tahoma"/>
                <w:color w:val="A1B3C1"/>
                <w:sz w:val="8"/>
                <w:szCs w:val="8"/>
                <w:rtl/>
              </w:rPr>
              <w:t xml:space="preserve">ساعت </w:t>
            </w:r>
            <w:r w:rsidRPr="00311342">
              <w:rPr>
                <w:rFonts w:ascii="Tahoma" w:eastAsia="Times New Roman" w:hAnsi="Tahoma" w:cs="Tahoma"/>
                <w:color w:val="A1B3C1"/>
                <w:sz w:val="8"/>
                <w:szCs w:val="8"/>
                <w:rtl/>
                <w:lang w:bidi="fa-IR"/>
              </w:rPr>
              <w:t>۱۱:</w:t>
            </w:r>
            <w:r w:rsidRPr="00311342">
              <w:rPr>
                <w:rFonts w:ascii="Tahoma" w:eastAsia="Times New Roman" w:hAnsi="Tahoma" w:cs="Tahoma"/>
                <w:color w:val="A1B3C1"/>
                <w:sz w:val="8"/>
                <w:szCs w:val="8"/>
                <w:rtl/>
              </w:rPr>
              <w:t xml:space="preserve">٠٧ </w:t>
            </w:r>
            <w:r w:rsidRPr="00311342">
              <w:rPr>
                <w:rFonts w:ascii="Tahoma" w:eastAsia="Times New Roman" w:hAnsi="Tahoma" w:cs="Tahoma"/>
                <w:color w:val="A1B3C1"/>
                <w:sz w:val="8"/>
                <w:szCs w:val="8"/>
                <w:cs/>
              </w:rPr>
              <w:t>‎</w:t>
            </w:r>
            <w:r w:rsidRPr="00311342">
              <w:rPr>
                <w:rFonts w:ascii="Tahoma" w:eastAsia="Times New Roman" w:hAnsi="Tahoma" w:cs="Tahoma"/>
                <w:color w:val="A1B3C1"/>
                <w:sz w:val="8"/>
                <w:szCs w:val="8"/>
                <w:rtl/>
              </w:rPr>
              <w:t xml:space="preserve">ق.ظ روز </w:t>
            </w:r>
            <w:r w:rsidRPr="00311342">
              <w:rPr>
                <w:rFonts w:ascii="Tahoma" w:eastAsia="Times New Roman" w:hAnsi="Tahoma" w:cs="Tahoma"/>
                <w:color w:val="A1B3C1"/>
                <w:sz w:val="8"/>
                <w:szCs w:val="8"/>
                <w:rtl/>
                <w:lang w:bidi="fa-IR"/>
              </w:rPr>
              <w:t>۱۳۸۸/</w:t>
            </w:r>
            <w:r w:rsidRPr="00311342">
              <w:rPr>
                <w:rFonts w:ascii="Tahoma" w:eastAsia="Times New Roman" w:hAnsi="Tahoma" w:cs="Tahoma"/>
                <w:color w:val="A1B3C1"/>
                <w:sz w:val="8"/>
                <w:szCs w:val="8"/>
                <w:rtl/>
              </w:rPr>
              <w:t>٤/</w:t>
            </w:r>
            <w:r w:rsidRPr="00311342">
              <w:rPr>
                <w:rFonts w:ascii="Tahoma" w:eastAsia="Times New Roman" w:hAnsi="Tahoma" w:cs="Tahoma"/>
                <w:color w:val="A1B3C1"/>
                <w:sz w:val="8"/>
                <w:szCs w:val="8"/>
                <w:rtl/>
                <w:lang w:bidi="fa-IR"/>
              </w:rPr>
              <w:t>۱</w:t>
            </w:r>
            <w:r w:rsidRPr="00311342">
              <w:rPr>
                <w:rFonts w:ascii="Tahoma" w:eastAsia="Times New Roman" w:hAnsi="Tahoma" w:cs="Tahoma"/>
                <w:color w:val="A1B3C1"/>
                <w:sz w:val="8"/>
                <w:szCs w:val="8"/>
                <w:rtl/>
              </w:rPr>
              <w:t>٢  </w:t>
            </w:r>
          </w:p>
        </w:tc>
        <w:tc>
          <w:tcPr>
            <w:tcW w:w="27"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r>
    </w:tbl>
    <w:p w:rsidR="00311342" w:rsidRPr="00311342" w:rsidRDefault="00311342" w:rsidP="00311342">
      <w:pPr>
        <w:shd w:val="clear" w:color="auto" w:fill="474747"/>
        <w:spacing w:after="100" w:line="240" w:lineRule="auto"/>
        <w:rPr>
          <w:rFonts w:ascii="Tahoma" w:eastAsia="Times New Roman" w:hAnsi="Tahoma" w:cs="Tahoma"/>
          <w:vanish/>
          <w:color w:val="9D9D9D"/>
          <w:sz w:val="11"/>
          <w:szCs w:val="11"/>
          <w:lang/>
        </w:rPr>
      </w:pPr>
    </w:p>
    <w:tbl>
      <w:tblPr>
        <w:tblW w:w="4461" w:type="dxa"/>
        <w:tblCellSpacing w:w="0" w:type="dxa"/>
        <w:tblCellMar>
          <w:left w:w="0" w:type="dxa"/>
          <w:right w:w="0" w:type="dxa"/>
        </w:tblCellMar>
        <w:tblLook w:val="04A0"/>
      </w:tblPr>
      <w:tblGrid>
        <w:gridCol w:w="44"/>
        <w:gridCol w:w="4417"/>
      </w:tblGrid>
      <w:tr w:rsidR="00311342" w:rsidRPr="00311342" w:rsidTr="00311342">
        <w:trPr>
          <w:tblCellSpacing w:w="0" w:type="dxa"/>
        </w:trPr>
        <w:tc>
          <w:tcPr>
            <w:tcW w:w="44" w:type="dxa"/>
            <w:vAlign w:val="center"/>
            <w:hideMark/>
          </w:tcPr>
          <w:p w:rsidR="00311342" w:rsidRPr="00311342" w:rsidRDefault="00311342" w:rsidP="00311342">
            <w:pPr>
              <w:spacing w:after="0" w:line="240" w:lineRule="auto"/>
              <w:rPr>
                <w:rFonts w:ascii="Tahoma" w:eastAsia="Times New Roman" w:hAnsi="Tahoma" w:cs="Tahoma"/>
                <w:color w:val="9D9D9D"/>
                <w:sz w:val="12"/>
                <w:szCs w:val="12"/>
              </w:rPr>
            </w:pPr>
          </w:p>
        </w:tc>
        <w:tc>
          <w:tcPr>
            <w:tcW w:w="0" w:type="auto"/>
            <w:vAlign w:val="center"/>
            <w:hideMark/>
          </w:tcPr>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00"/>
                <w:sz w:val="24"/>
                <w:szCs w:val="24"/>
                <w:rtl/>
              </w:rPr>
              <w:t xml:space="preserve">تابش های رادیواکتیو: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     چنان که گفته شد سه نوع تابش رادیواکتیو وجود دارد که ذرات آلفا از چهار ذره اتمی ، یعنی دو پروتون و دو نوترون تشکیل می شوند. این ذرات ضعیفترین نوع تابش رادیواکتیو هستند. و بار الکتریکی مثبت دارند. مسیر آنها را می توان با صفحه کاغذ مسدود کرد. ذرات بتا قدرتمند و از ذرات اتمی که الکترون خوانده می شوند و بار منفی دارند تشکیل می شوند. این کاغذ عبور می کند ولی آلومینیوم آن را مسدود می کند. پرتوهای گاما از همه قدرتمند ترند. آنها امواج الکترومغناطیسی اند و فاقد بارالکتریکی می باشند. اما پرتوهای گاما را فقط لایه ضخیمی از سرب متوقف می سازد. خروجی یا تابش رادیواکتیو می تواند وارد بافتهای زنده شود و به آنها صدمه بزند. بنابراین اطراف آن باید کنترل شود. این تابش را با وسیله ای به نام شمارنده گایگر – مولر ، که نام آن از مخترعانش اقتباس شده است ، می توان اندازه گرفت. وقتی تابش رادیواکتیو وارد این شمارنده می شود ، گاز موجود در آن حامل الکتریسیته می شود. مقدار بار را می توان روی صفحه ای قرائت کرد یا از طریق یک بلند گو به صورت صداهای تیک تیک خاصی شنید.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lastRenderedPageBreak/>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00"/>
                <w:sz w:val="24"/>
                <w:szCs w:val="24"/>
                <w:rtl/>
              </w:rPr>
              <w:t>نیمه عمر:</w:t>
            </w:r>
            <w:r w:rsidRPr="00311342">
              <w:rPr>
                <w:rFonts w:ascii="Tahoma" w:eastAsia="Times New Roman" w:hAnsi="Tahoma" w:cs="Tahoma"/>
                <w:color w:val="FF00FF"/>
                <w:sz w:val="24"/>
                <w:szCs w:val="24"/>
                <w:rtl/>
              </w:rPr>
              <w:t xml:space="preserve">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     نیمه عمر یک ماده زمانی است که طول می کشد تا خاصیت رادیواکتیویته آن به نصف کاهش یابد. مثلا نیمه عمر کربن 14 (شکل خاصی از عنصر کربن) 5600 سال است. یعنی 5600 سال طول می کشد تا نصف اتم های رادیواکتیو کربن دچار فروپاشی شوند ، یا یک گرم از اتم های رادیواکتیو به نیم گرم تقلیل یابد. 5600 سال دیگر طول می کشد که همین مقدار نیز به نصف برسد و به همین ترتیب. </w:t>
            </w:r>
            <w:r w:rsidRPr="00311342">
              <w:rPr>
                <w:rFonts w:ascii="Tahoma" w:eastAsia="Times New Roman" w:hAnsi="Tahoma" w:cs="Tahoma"/>
                <w:color w:val="FF00FF"/>
                <w:sz w:val="24"/>
                <w:szCs w:val="24"/>
                <w:rtl/>
              </w:rPr>
              <w:br/>
              <w:t xml:space="preserve">نیمه عمر عناصر مختلف از چند ثانیه تا میلیونها سال متغیر است. فروپاشی شبکه ای زباله های اتمی زیان بخش حاصل از نیروگاههای هسته ای میلیونها سال طول می کشد. و همه موجودات زنده روی زمین حاوی مقدار معینی کربن 14 (کربن رادیواکتیو) هستند که با تبادل مداوم گازهای اکسیژن و دی اکسید کربن بین موجودات زنده و جو زمین تشکیل می شود. وقتی یک گیاه یا حیوان می میرد ، این تبادل متوقف می شود و کربن 14 شروع به فروپاشی می کند. </w:t>
            </w:r>
            <w:r w:rsidRPr="00311342">
              <w:rPr>
                <w:rFonts w:ascii="Tahoma" w:eastAsia="Times New Roman" w:hAnsi="Tahoma" w:cs="Tahoma"/>
                <w:color w:val="FF00FF"/>
                <w:sz w:val="24"/>
                <w:szCs w:val="24"/>
                <w:rtl/>
              </w:rPr>
              <w:br/>
              <w:t xml:space="preserve">دانشمندان می دانند که نیمه عمر این کربن 5600 سال است. بنابراین پس از این مدت جسم مرده دقیقا نصف تشعشع رادیواکتیو زمان زندگی خود را ساطع می کند. این فروپاشی با آهنگ ثابتی انجام می شود و در نتیجه این امکان وجود دارد که با اندازه گیری میزان تابش زمان مرگ موجود مورد نظر را دریافت. باستانشناسان از عمر بعضی کربن برای یافتن تاریخ مومیایی های مصر باستان استفاده کرده اند. </w:t>
            </w:r>
            <w:r w:rsidRPr="00311342">
              <w:rPr>
                <w:rFonts w:ascii="Tahoma" w:eastAsia="Times New Roman" w:hAnsi="Tahoma" w:cs="Tahoma"/>
                <w:color w:val="FF00FF"/>
                <w:sz w:val="24"/>
                <w:szCs w:val="24"/>
                <w:rtl/>
              </w:rPr>
              <w:br/>
              <w:t xml:space="preserve">از دیدگاه نظری ، همه مواد رادیواکتیو نهایتا به سرب تبدیل می شوند ، هسته اتم سرب پایدار است و بنابراین خاصیت رادیواکتیو </w:t>
            </w:r>
            <w:r w:rsidRPr="00311342">
              <w:rPr>
                <w:rFonts w:ascii="Tahoma" w:eastAsia="Times New Roman" w:hAnsi="Tahoma" w:cs="Tahoma"/>
                <w:color w:val="FF00FF"/>
                <w:sz w:val="24"/>
                <w:szCs w:val="24"/>
                <w:rtl/>
              </w:rPr>
              <w:lastRenderedPageBreak/>
              <w:t xml:space="preserve">ندارد.اما این امر به طور تجربی اثبات نشده است. زیرا نیمه عمر بعضی از عناصر بیش از عمر انسانهاست.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00"/>
                <w:sz w:val="24"/>
                <w:szCs w:val="24"/>
                <w:rtl/>
              </w:rPr>
              <w:t>عناصر متداول و نیمه عمر آنها:</w:t>
            </w:r>
            <w:r w:rsidRPr="00311342">
              <w:rPr>
                <w:rFonts w:ascii="Tahoma" w:eastAsia="Times New Roman" w:hAnsi="Tahoma" w:cs="Tahoma"/>
                <w:color w:val="FF00FF"/>
                <w:sz w:val="24"/>
                <w:szCs w:val="24"/>
                <w:rtl/>
              </w:rPr>
              <w:t xml:space="preserve">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اورانیم 238 نیمه عمر آن 5 میلیارد سال </w:t>
            </w:r>
            <w:r w:rsidRPr="00311342">
              <w:rPr>
                <w:rFonts w:ascii="Tahoma" w:eastAsia="Times New Roman" w:hAnsi="Tahoma" w:cs="Tahoma"/>
                <w:color w:val="FF00FF"/>
                <w:sz w:val="24"/>
                <w:szCs w:val="24"/>
                <w:rtl/>
              </w:rPr>
              <w:br/>
              <w:t xml:space="preserve">اورانیم 235 نیمه عمر آن700 میلیون سال </w:t>
            </w:r>
            <w:r w:rsidRPr="00311342">
              <w:rPr>
                <w:rFonts w:ascii="Tahoma" w:eastAsia="Times New Roman" w:hAnsi="Tahoma" w:cs="Tahoma"/>
                <w:color w:val="FF00FF"/>
                <w:sz w:val="24"/>
                <w:szCs w:val="24"/>
                <w:rtl/>
              </w:rPr>
              <w:br/>
              <w:t xml:space="preserve">پلوتونیم239 نیمه عمر آن 24000سال </w:t>
            </w:r>
            <w:r w:rsidRPr="00311342">
              <w:rPr>
                <w:rFonts w:ascii="Tahoma" w:eastAsia="Times New Roman" w:hAnsi="Tahoma" w:cs="Tahoma"/>
                <w:color w:val="FF00FF"/>
                <w:sz w:val="24"/>
                <w:szCs w:val="24"/>
                <w:rtl/>
              </w:rPr>
              <w:br/>
              <w:t xml:space="preserve">کربن 14 نیمه عمر آن 5600 سال </w:t>
            </w:r>
            <w:r w:rsidRPr="00311342">
              <w:rPr>
                <w:rFonts w:ascii="Tahoma" w:eastAsia="Times New Roman" w:hAnsi="Tahoma" w:cs="Tahoma"/>
                <w:color w:val="FF00FF"/>
                <w:sz w:val="24"/>
                <w:szCs w:val="24"/>
                <w:rtl/>
              </w:rPr>
              <w:br/>
              <w:t xml:space="preserve">ید131 نیمه عمر آن 8 روز </w:t>
            </w:r>
            <w:r w:rsidRPr="00311342">
              <w:rPr>
                <w:rFonts w:ascii="Tahoma" w:eastAsia="Times New Roman" w:hAnsi="Tahoma" w:cs="Tahoma"/>
                <w:color w:val="FF00FF"/>
                <w:sz w:val="24"/>
                <w:szCs w:val="24"/>
                <w:rtl/>
              </w:rPr>
              <w:br/>
              <w:t xml:space="preserve">طلای 198 نیمه عمر آن 3 روز </w:t>
            </w:r>
            <w:r w:rsidRPr="00311342">
              <w:rPr>
                <w:rFonts w:ascii="Tahoma" w:eastAsia="Times New Roman" w:hAnsi="Tahoma" w:cs="Tahoma"/>
                <w:color w:val="FF00FF"/>
                <w:sz w:val="24"/>
                <w:szCs w:val="24"/>
                <w:rtl/>
              </w:rPr>
              <w:br/>
              <w:t xml:space="preserve">سدیم 24 نیمه عمر آن 15 ساعت </w:t>
            </w:r>
            <w:r w:rsidRPr="00311342">
              <w:rPr>
                <w:rFonts w:ascii="Tahoma" w:eastAsia="Times New Roman" w:hAnsi="Tahoma" w:cs="Tahoma"/>
                <w:color w:val="FF00FF"/>
                <w:sz w:val="24"/>
                <w:szCs w:val="24"/>
                <w:rtl/>
              </w:rPr>
              <w:br/>
              <w:t xml:space="preserve">فلوئور 17 نیمه عمر آن 1 دقیقه </w:t>
            </w:r>
            <w:r w:rsidRPr="00311342">
              <w:rPr>
                <w:rFonts w:ascii="Tahoma" w:eastAsia="Times New Roman" w:hAnsi="Tahoma" w:cs="Tahoma"/>
                <w:color w:val="FF00FF"/>
                <w:sz w:val="24"/>
                <w:szCs w:val="24"/>
                <w:rtl/>
              </w:rPr>
              <w:br/>
              <w:t xml:space="preserve">پولونیم 214 نیمه عمر آن00000003/0 ثانیه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00"/>
                <w:sz w:val="24"/>
                <w:szCs w:val="24"/>
                <w:rtl/>
              </w:rPr>
              <w:t>کاربردها:</w:t>
            </w:r>
            <w:r w:rsidRPr="00311342">
              <w:rPr>
                <w:rFonts w:ascii="Tahoma" w:eastAsia="Times New Roman" w:hAnsi="Tahoma" w:cs="Tahoma"/>
                <w:color w:val="FF00FF"/>
                <w:sz w:val="24"/>
                <w:szCs w:val="24"/>
                <w:rtl/>
              </w:rPr>
              <w:t xml:space="preserve">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    بسیاری از ایزوتوپها رادیواکتیو هستند یعنی ذرات با فرکانس بالا را از هسته (مرکز) اتمهای خود ساطع می کنند. از آنها می توان برای دنبال کردن مسیر مواد متحرکی که از دید پنهان هستند ، مانند جریان خون در بدن یک بیمار در بیمارستان ، استفاده کرد.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در جریان خون: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مقدار کمی از یک ایزوتوپ رادیواکتیو به درون جریان خون بیمار تزریق می شود. سپس مسیر آن توسط آشکار سازهای خاصی که فعالیت رادیواکتیویته را مشخص می کنند دنبال می شود. این اطلاعات به یک کامپیوتر داده می شود که صفحه آن هرگونه اختلالی مانند انعقاد خون در رگها را نشان می دهد. با استفاده از روشی مشابه ، می توان از ایزوتوپها برای مطالعه جریان مایعات در تاسیسات شیمیایی نیز استفاده کرد. </w:t>
            </w:r>
          </w:p>
          <w:p w:rsidR="00311342" w:rsidRPr="00311342" w:rsidRDefault="00311342" w:rsidP="00311342">
            <w:pPr>
              <w:shd w:val="clear" w:color="auto" w:fill="FFFFFF"/>
              <w:bidi/>
              <w:spacing w:after="0" w:line="360" w:lineRule="atLeast"/>
              <w:jc w:val="lowKashida"/>
              <w:rPr>
                <w:rFonts w:ascii="Times New Roman" w:eastAsia="Times New Roman" w:hAnsi="Times New Roman" w:cs="Times New Roman"/>
                <w:color w:val="9D9D9D"/>
                <w:sz w:val="24"/>
                <w:szCs w:val="24"/>
                <w:rtl/>
              </w:rPr>
            </w:pPr>
            <w:r w:rsidRPr="00311342">
              <w:rPr>
                <w:rFonts w:ascii="Tahoma" w:eastAsia="Times New Roman" w:hAnsi="Tahoma" w:cs="Tahoma"/>
                <w:color w:val="FF00FF"/>
                <w:sz w:val="24"/>
                <w:szCs w:val="24"/>
                <w:rtl/>
              </w:rPr>
              <w:t xml:space="preserve">در فرسودگی ماشین آلات: </w:t>
            </w:r>
          </w:p>
          <w:p w:rsidR="00311342" w:rsidRPr="00311342" w:rsidRDefault="00311342" w:rsidP="00311342">
            <w:pPr>
              <w:shd w:val="clear" w:color="auto" w:fill="FFFFFF"/>
              <w:bidi/>
              <w:spacing w:after="44" w:line="360" w:lineRule="atLeast"/>
              <w:jc w:val="lowKashida"/>
              <w:rPr>
                <w:rFonts w:ascii="Times New Roman" w:eastAsia="Times New Roman" w:hAnsi="Times New Roman" w:cs="Times New Roman"/>
                <w:color w:val="9D9D9D"/>
                <w:sz w:val="24"/>
                <w:szCs w:val="24"/>
              </w:rPr>
            </w:pPr>
            <w:r w:rsidRPr="00311342">
              <w:rPr>
                <w:rFonts w:ascii="Tahoma" w:eastAsia="Times New Roman" w:hAnsi="Tahoma" w:cs="Tahoma"/>
                <w:color w:val="FF00FF"/>
                <w:sz w:val="24"/>
                <w:szCs w:val="24"/>
                <w:rtl/>
              </w:rPr>
              <w:t xml:space="preserve">آهنگ فرسودگی ماشین آلات صنعتی را نیز </w:t>
            </w:r>
            <w:r w:rsidRPr="00311342">
              <w:rPr>
                <w:rFonts w:ascii="Tahoma" w:eastAsia="Times New Roman" w:hAnsi="Tahoma" w:cs="Tahoma"/>
                <w:color w:val="FF00FF"/>
                <w:sz w:val="24"/>
                <w:szCs w:val="24"/>
                <w:rtl/>
              </w:rPr>
              <w:lastRenderedPageBreak/>
              <w:t>می توان با استفاده از ایزوتوپها اندازه گرفت. مقادیر اندکی از ایزوتوپها رادیواکتیو به بخشهای فلزی ماشین آلات ، مانند یاتاقانها و رینگ پیستونها اضافه می شود. سپس سرعت فرسودگی با اندازه گرفتن رادیواکتیویته روغنی که برای روغنکاری این بخشها به کار رفته است محاسبه می شود.           </w:t>
            </w:r>
            <w:r w:rsidRPr="00311342">
              <w:rPr>
                <w:rFonts w:ascii="Tahoma" w:eastAsia="Times New Roman" w:hAnsi="Tahoma" w:cs="Tahoma"/>
                <w:color w:val="000000"/>
                <w:sz w:val="24"/>
                <w:szCs w:val="24"/>
                <w:rtl/>
              </w:rPr>
              <w:t>ادامه دارد ...</w:t>
            </w:r>
          </w:p>
        </w:tc>
      </w:tr>
    </w:tbl>
    <w:p w:rsidR="00A64790" w:rsidRDefault="00A64790"/>
    <w:sectPr w:rsidR="00A64790" w:rsidSect="00A6479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311342"/>
    <w:rsid w:val="00013B6A"/>
    <w:rsid w:val="000220B9"/>
    <w:rsid w:val="00030637"/>
    <w:rsid w:val="00032A69"/>
    <w:rsid w:val="00032ED3"/>
    <w:rsid w:val="00033D64"/>
    <w:rsid w:val="00046588"/>
    <w:rsid w:val="00055A30"/>
    <w:rsid w:val="00055E85"/>
    <w:rsid w:val="000651A0"/>
    <w:rsid w:val="000674F5"/>
    <w:rsid w:val="000716E5"/>
    <w:rsid w:val="00071745"/>
    <w:rsid w:val="00072C0D"/>
    <w:rsid w:val="000A107C"/>
    <w:rsid w:val="000A22C3"/>
    <w:rsid w:val="000B09C1"/>
    <w:rsid w:val="000B648D"/>
    <w:rsid w:val="000B7FEB"/>
    <w:rsid w:val="000D46BE"/>
    <w:rsid w:val="000D4EA0"/>
    <w:rsid w:val="000F7F5C"/>
    <w:rsid w:val="00104A58"/>
    <w:rsid w:val="00114C1E"/>
    <w:rsid w:val="00120A11"/>
    <w:rsid w:val="00123B6A"/>
    <w:rsid w:val="00130B44"/>
    <w:rsid w:val="00137722"/>
    <w:rsid w:val="00143A3C"/>
    <w:rsid w:val="00147E8B"/>
    <w:rsid w:val="00154662"/>
    <w:rsid w:val="00164B03"/>
    <w:rsid w:val="001662C2"/>
    <w:rsid w:val="00170DCA"/>
    <w:rsid w:val="00172474"/>
    <w:rsid w:val="00174F86"/>
    <w:rsid w:val="001774E0"/>
    <w:rsid w:val="001815E8"/>
    <w:rsid w:val="00181A26"/>
    <w:rsid w:val="00181C89"/>
    <w:rsid w:val="00185E87"/>
    <w:rsid w:val="001976B9"/>
    <w:rsid w:val="001A0945"/>
    <w:rsid w:val="001B2E48"/>
    <w:rsid w:val="001B4316"/>
    <w:rsid w:val="001C2A13"/>
    <w:rsid w:val="001C5A60"/>
    <w:rsid w:val="001C5DCD"/>
    <w:rsid w:val="001C7606"/>
    <w:rsid w:val="001D479C"/>
    <w:rsid w:val="001E4E3D"/>
    <w:rsid w:val="001F2EA5"/>
    <w:rsid w:val="001F7F1F"/>
    <w:rsid w:val="00203A6B"/>
    <w:rsid w:val="00205EE5"/>
    <w:rsid w:val="002113BC"/>
    <w:rsid w:val="00214C3D"/>
    <w:rsid w:val="00215C6C"/>
    <w:rsid w:val="00217F31"/>
    <w:rsid w:val="002257E0"/>
    <w:rsid w:val="00233131"/>
    <w:rsid w:val="002359BE"/>
    <w:rsid w:val="0024400A"/>
    <w:rsid w:val="00246E67"/>
    <w:rsid w:val="00252249"/>
    <w:rsid w:val="00260085"/>
    <w:rsid w:val="0026525A"/>
    <w:rsid w:val="00281DB2"/>
    <w:rsid w:val="00283AC2"/>
    <w:rsid w:val="002850C0"/>
    <w:rsid w:val="002872F3"/>
    <w:rsid w:val="00287975"/>
    <w:rsid w:val="002A2467"/>
    <w:rsid w:val="002A512F"/>
    <w:rsid w:val="002B0B1D"/>
    <w:rsid w:val="002B6E33"/>
    <w:rsid w:val="002C174D"/>
    <w:rsid w:val="002C330E"/>
    <w:rsid w:val="002C5BE0"/>
    <w:rsid w:val="002C669C"/>
    <w:rsid w:val="002D784F"/>
    <w:rsid w:val="002D7FDA"/>
    <w:rsid w:val="002E410A"/>
    <w:rsid w:val="00300C7F"/>
    <w:rsid w:val="00311342"/>
    <w:rsid w:val="00313E82"/>
    <w:rsid w:val="00315434"/>
    <w:rsid w:val="0032710E"/>
    <w:rsid w:val="00334353"/>
    <w:rsid w:val="00336C27"/>
    <w:rsid w:val="00340530"/>
    <w:rsid w:val="00346056"/>
    <w:rsid w:val="0035372A"/>
    <w:rsid w:val="00354AC0"/>
    <w:rsid w:val="00357903"/>
    <w:rsid w:val="00360708"/>
    <w:rsid w:val="003652EC"/>
    <w:rsid w:val="0036589A"/>
    <w:rsid w:val="003720BC"/>
    <w:rsid w:val="00373E60"/>
    <w:rsid w:val="003742C4"/>
    <w:rsid w:val="0038312D"/>
    <w:rsid w:val="003836C6"/>
    <w:rsid w:val="003925D7"/>
    <w:rsid w:val="003955D8"/>
    <w:rsid w:val="003A141A"/>
    <w:rsid w:val="003A466B"/>
    <w:rsid w:val="003A62C7"/>
    <w:rsid w:val="003A6469"/>
    <w:rsid w:val="003B40E7"/>
    <w:rsid w:val="003C30BF"/>
    <w:rsid w:val="003D011D"/>
    <w:rsid w:val="003F5110"/>
    <w:rsid w:val="003F66D4"/>
    <w:rsid w:val="0040460A"/>
    <w:rsid w:val="004079C2"/>
    <w:rsid w:val="00411B09"/>
    <w:rsid w:val="004145EA"/>
    <w:rsid w:val="00414984"/>
    <w:rsid w:val="0041676B"/>
    <w:rsid w:val="004231BA"/>
    <w:rsid w:val="00430C51"/>
    <w:rsid w:val="00435BCE"/>
    <w:rsid w:val="00436328"/>
    <w:rsid w:val="00445D57"/>
    <w:rsid w:val="004600E9"/>
    <w:rsid w:val="004704B8"/>
    <w:rsid w:val="00472A76"/>
    <w:rsid w:val="004759CC"/>
    <w:rsid w:val="00477C7F"/>
    <w:rsid w:val="00480F55"/>
    <w:rsid w:val="0049069B"/>
    <w:rsid w:val="004909EF"/>
    <w:rsid w:val="004914EC"/>
    <w:rsid w:val="004937B9"/>
    <w:rsid w:val="004A108B"/>
    <w:rsid w:val="004A21A5"/>
    <w:rsid w:val="004A7A3A"/>
    <w:rsid w:val="004B4C85"/>
    <w:rsid w:val="004C34E5"/>
    <w:rsid w:val="004F0FAB"/>
    <w:rsid w:val="004F5422"/>
    <w:rsid w:val="004F7D93"/>
    <w:rsid w:val="00505DFF"/>
    <w:rsid w:val="00515B64"/>
    <w:rsid w:val="00531DD6"/>
    <w:rsid w:val="00540D4F"/>
    <w:rsid w:val="00545CAC"/>
    <w:rsid w:val="00556990"/>
    <w:rsid w:val="00562B15"/>
    <w:rsid w:val="0056461D"/>
    <w:rsid w:val="00570B66"/>
    <w:rsid w:val="005721E4"/>
    <w:rsid w:val="00577E09"/>
    <w:rsid w:val="00580AD4"/>
    <w:rsid w:val="005811BA"/>
    <w:rsid w:val="00581832"/>
    <w:rsid w:val="00582C38"/>
    <w:rsid w:val="00582D42"/>
    <w:rsid w:val="00587EB1"/>
    <w:rsid w:val="00587FBC"/>
    <w:rsid w:val="00596653"/>
    <w:rsid w:val="00596ABC"/>
    <w:rsid w:val="005A34E8"/>
    <w:rsid w:val="005B0BEC"/>
    <w:rsid w:val="005E6E6C"/>
    <w:rsid w:val="005F0FE0"/>
    <w:rsid w:val="005F1885"/>
    <w:rsid w:val="005F5DE4"/>
    <w:rsid w:val="006044CE"/>
    <w:rsid w:val="00604E62"/>
    <w:rsid w:val="00621D9C"/>
    <w:rsid w:val="00630468"/>
    <w:rsid w:val="0063132B"/>
    <w:rsid w:val="00632120"/>
    <w:rsid w:val="00632320"/>
    <w:rsid w:val="00633365"/>
    <w:rsid w:val="006366A7"/>
    <w:rsid w:val="00641C0D"/>
    <w:rsid w:val="0064786D"/>
    <w:rsid w:val="00647A81"/>
    <w:rsid w:val="0065599E"/>
    <w:rsid w:val="00657B13"/>
    <w:rsid w:val="00661CB8"/>
    <w:rsid w:val="006658F4"/>
    <w:rsid w:val="00677693"/>
    <w:rsid w:val="00681AFD"/>
    <w:rsid w:val="0069503C"/>
    <w:rsid w:val="00695AF3"/>
    <w:rsid w:val="00695E9D"/>
    <w:rsid w:val="006A520D"/>
    <w:rsid w:val="006B16B3"/>
    <w:rsid w:val="006B2088"/>
    <w:rsid w:val="006B2E16"/>
    <w:rsid w:val="006B79D4"/>
    <w:rsid w:val="006C433D"/>
    <w:rsid w:val="006C6780"/>
    <w:rsid w:val="006D0C8C"/>
    <w:rsid w:val="006F66DF"/>
    <w:rsid w:val="006F6CEE"/>
    <w:rsid w:val="00711B6B"/>
    <w:rsid w:val="007242F8"/>
    <w:rsid w:val="00726813"/>
    <w:rsid w:val="007275B7"/>
    <w:rsid w:val="0073292F"/>
    <w:rsid w:val="00735736"/>
    <w:rsid w:val="007357EA"/>
    <w:rsid w:val="00736FF2"/>
    <w:rsid w:val="007428D9"/>
    <w:rsid w:val="00744C8B"/>
    <w:rsid w:val="00746241"/>
    <w:rsid w:val="00747A1C"/>
    <w:rsid w:val="00751261"/>
    <w:rsid w:val="0075398D"/>
    <w:rsid w:val="00755966"/>
    <w:rsid w:val="00761133"/>
    <w:rsid w:val="007700A4"/>
    <w:rsid w:val="00772CF8"/>
    <w:rsid w:val="00773C71"/>
    <w:rsid w:val="007743D4"/>
    <w:rsid w:val="00790859"/>
    <w:rsid w:val="007A0161"/>
    <w:rsid w:val="007D2948"/>
    <w:rsid w:val="007D4B49"/>
    <w:rsid w:val="007D4E83"/>
    <w:rsid w:val="007E0495"/>
    <w:rsid w:val="007F022E"/>
    <w:rsid w:val="007F4204"/>
    <w:rsid w:val="00802EDC"/>
    <w:rsid w:val="00803A4D"/>
    <w:rsid w:val="00817227"/>
    <w:rsid w:val="008253E5"/>
    <w:rsid w:val="008277E7"/>
    <w:rsid w:val="00833382"/>
    <w:rsid w:val="008406C2"/>
    <w:rsid w:val="008406C6"/>
    <w:rsid w:val="00841FFA"/>
    <w:rsid w:val="00847CFB"/>
    <w:rsid w:val="0085480D"/>
    <w:rsid w:val="00857CF1"/>
    <w:rsid w:val="00870840"/>
    <w:rsid w:val="008714E6"/>
    <w:rsid w:val="008755AB"/>
    <w:rsid w:val="00877E00"/>
    <w:rsid w:val="0088210F"/>
    <w:rsid w:val="00893534"/>
    <w:rsid w:val="0089452C"/>
    <w:rsid w:val="008959C5"/>
    <w:rsid w:val="008A3FB0"/>
    <w:rsid w:val="008B14E8"/>
    <w:rsid w:val="008B1781"/>
    <w:rsid w:val="008B2685"/>
    <w:rsid w:val="008C1FA1"/>
    <w:rsid w:val="008D2D7B"/>
    <w:rsid w:val="008D63DE"/>
    <w:rsid w:val="008E02F5"/>
    <w:rsid w:val="008F386B"/>
    <w:rsid w:val="008F3E36"/>
    <w:rsid w:val="009014EF"/>
    <w:rsid w:val="009048E0"/>
    <w:rsid w:val="00907FC6"/>
    <w:rsid w:val="00912A53"/>
    <w:rsid w:val="00921174"/>
    <w:rsid w:val="00927097"/>
    <w:rsid w:val="00930C05"/>
    <w:rsid w:val="00933803"/>
    <w:rsid w:val="009360E5"/>
    <w:rsid w:val="0094041E"/>
    <w:rsid w:val="0094059C"/>
    <w:rsid w:val="009423CD"/>
    <w:rsid w:val="00945AF1"/>
    <w:rsid w:val="00946BC7"/>
    <w:rsid w:val="00953EA3"/>
    <w:rsid w:val="00956F56"/>
    <w:rsid w:val="00971B52"/>
    <w:rsid w:val="00973065"/>
    <w:rsid w:val="00991677"/>
    <w:rsid w:val="009A580C"/>
    <w:rsid w:val="009A6748"/>
    <w:rsid w:val="009B62AF"/>
    <w:rsid w:val="009C2803"/>
    <w:rsid w:val="009C7951"/>
    <w:rsid w:val="009E2D6A"/>
    <w:rsid w:val="009E420C"/>
    <w:rsid w:val="009E45D9"/>
    <w:rsid w:val="009F2042"/>
    <w:rsid w:val="009F7D00"/>
    <w:rsid w:val="00A04F28"/>
    <w:rsid w:val="00A0536F"/>
    <w:rsid w:val="00A078EE"/>
    <w:rsid w:val="00A07A64"/>
    <w:rsid w:val="00A07E4C"/>
    <w:rsid w:val="00A1230B"/>
    <w:rsid w:val="00A223D2"/>
    <w:rsid w:val="00A31504"/>
    <w:rsid w:val="00A33089"/>
    <w:rsid w:val="00A34703"/>
    <w:rsid w:val="00A36722"/>
    <w:rsid w:val="00A374FD"/>
    <w:rsid w:val="00A43BA9"/>
    <w:rsid w:val="00A44CF7"/>
    <w:rsid w:val="00A45A25"/>
    <w:rsid w:val="00A460FF"/>
    <w:rsid w:val="00A50882"/>
    <w:rsid w:val="00A526AC"/>
    <w:rsid w:val="00A54834"/>
    <w:rsid w:val="00A573D9"/>
    <w:rsid w:val="00A64790"/>
    <w:rsid w:val="00A76178"/>
    <w:rsid w:val="00A77670"/>
    <w:rsid w:val="00A81F7A"/>
    <w:rsid w:val="00A835A6"/>
    <w:rsid w:val="00A83835"/>
    <w:rsid w:val="00A850EA"/>
    <w:rsid w:val="00A8537F"/>
    <w:rsid w:val="00A932EE"/>
    <w:rsid w:val="00AA5C71"/>
    <w:rsid w:val="00AB4D06"/>
    <w:rsid w:val="00AB674D"/>
    <w:rsid w:val="00AB7240"/>
    <w:rsid w:val="00AD1D05"/>
    <w:rsid w:val="00AD1F72"/>
    <w:rsid w:val="00AD2468"/>
    <w:rsid w:val="00AE3731"/>
    <w:rsid w:val="00B228B7"/>
    <w:rsid w:val="00B263C1"/>
    <w:rsid w:val="00B4497F"/>
    <w:rsid w:val="00B45AC7"/>
    <w:rsid w:val="00B46B6A"/>
    <w:rsid w:val="00B4785B"/>
    <w:rsid w:val="00B56295"/>
    <w:rsid w:val="00B60D3C"/>
    <w:rsid w:val="00B62D7E"/>
    <w:rsid w:val="00B64430"/>
    <w:rsid w:val="00B6538F"/>
    <w:rsid w:val="00B71E9A"/>
    <w:rsid w:val="00B71ED0"/>
    <w:rsid w:val="00B81461"/>
    <w:rsid w:val="00B84F90"/>
    <w:rsid w:val="00B93614"/>
    <w:rsid w:val="00BA0668"/>
    <w:rsid w:val="00BA0B9B"/>
    <w:rsid w:val="00BA37E5"/>
    <w:rsid w:val="00BA62BB"/>
    <w:rsid w:val="00BB0ADE"/>
    <w:rsid w:val="00BB1137"/>
    <w:rsid w:val="00BB3244"/>
    <w:rsid w:val="00BB7BE6"/>
    <w:rsid w:val="00BC420C"/>
    <w:rsid w:val="00BD383E"/>
    <w:rsid w:val="00BD6B83"/>
    <w:rsid w:val="00BE1788"/>
    <w:rsid w:val="00BE7238"/>
    <w:rsid w:val="00C01B69"/>
    <w:rsid w:val="00C04258"/>
    <w:rsid w:val="00C13119"/>
    <w:rsid w:val="00C15213"/>
    <w:rsid w:val="00C17540"/>
    <w:rsid w:val="00C21938"/>
    <w:rsid w:val="00C230AA"/>
    <w:rsid w:val="00C24F99"/>
    <w:rsid w:val="00C25E88"/>
    <w:rsid w:val="00C34EB5"/>
    <w:rsid w:val="00C44A04"/>
    <w:rsid w:val="00C46D8F"/>
    <w:rsid w:val="00C5286B"/>
    <w:rsid w:val="00C52B50"/>
    <w:rsid w:val="00C53E9A"/>
    <w:rsid w:val="00C60828"/>
    <w:rsid w:val="00C611D0"/>
    <w:rsid w:val="00C65208"/>
    <w:rsid w:val="00C6678F"/>
    <w:rsid w:val="00C82366"/>
    <w:rsid w:val="00C84257"/>
    <w:rsid w:val="00C9613B"/>
    <w:rsid w:val="00CA1E77"/>
    <w:rsid w:val="00CA3047"/>
    <w:rsid w:val="00CA4CCB"/>
    <w:rsid w:val="00CA560C"/>
    <w:rsid w:val="00CB4F3D"/>
    <w:rsid w:val="00CC19B6"/>
    <w:rsid w:val="00CC46C6"/>
    <w:rsid w:val="00CC4FE7"/>
    <w:rsid w:val="00CE6C8B"/>
    <w:rsid w:val="00CF16AD"/>
    <w:rsid w:val="00CF4D86"/>
    <w:rsid w:val="00D00DEC"/>
    <w:rsid w:val="00D05102"/>
    <w:rsid w:val="00D107BA"/>
    <w:rsid w:val="00D12A23"/>
    <w:rsid w:val="00D20EE5"/>
    <w:rsid w:val="00D21CC4"/>
    <w:rsid w:val="00D2208A"/>
    <w:rsid w:val="00D22E8D"/>
    <w:rsid w:val="00D24001"/>
    <w:rsid w:val="00D245C2"/>
    <w:rsid w:val="00D32FBC"/>
    <w:rsid w:val="00D41F9D"/>
    <w:rsid w:val="00D4469B"/>
    <w:rsid w:val="00D44BF6"/>
    <w:rsid w:val="00D56085"/>
    <w:rsid w:val="00D72242"/>
    <w:rsid w:val="00D73422"/>
    <w:rsid w:val="00D77842"/>
    <w:rsid w:val="00D81218"/>
    <w:rsid w:val="00D84F33"/>
    <w:rsid w:val="00D84F8A"/>
    <w:rsid w:val="00D92DE1"/>
    <w:rsid w:val="00DB7097"/>
    <w:rsid w:val="00DC21B4"/>
    <w:rsid w:val="00DC6CFB"/>
    <w:rsid w:val="00DC7C34"/>
    <w:rsid w:val="00DD1C0E"/>
    <w:rsid w:val="00DE0FA0"/>
    <w:rsid w:val="00DE2AF1"/>
    <w:rsid w:val="00DE54D3"/>
    <w:rsid w:val="00DF0726"/>
    <w:rsid w:val="00DF124B"/>
    <w:rsid w:val="00DF1EE1"/>
    <w:rsid w:val="00DF2D22"/>
    <w:rsid w:val="00DF5811"/>
    <w:rsid w:val="00DF6772"/>
    <w:rsid w:val="00E03B90"/>
    <w:rsid w:val="00E07359"/>
    <w:rsid w:val="00E128DE"/>
    <w:rsid w:val="00E13888"/>
    <w:rsid w:val="00E2384B"/>
    <w:rsid w:val="00E31F41"/>
    <w:rsid w:val="00E330DB"/>
    <w:rsid w:val="00E61670"/>
    <w:rsid w:val="00E64B76"/>
    <w:rsid w:val="00E67B47"/>
    <w:rsid w:val="00E81155"/>
    <w:rsid w:val="00E85CE4"/>
    <w:rsid w:val="00E9110A"/>
    <w:rsid w:val="00E923BD"/>
    <w:rsid w:val="00E95804"/>
    <w:rsid w:val="00E96D45"/>
    <w:rsid w:val="00EA5C9D"/>
    <w:rsid w:val="00EB1F44"/>
    <w:rsid w:val="00EB2FA9"/>
    <w:rsid w:val="00EC0CB6"/>
    <w:rsid w:val="00EC3E98"/>
    <w:rsid w:val="00EC5405"/>
    <w:rsid w:val="00EC5750"/>
    <w:rsid w:val="00EC799C"/>
    <w:rsid w:val="00ED032A"/>
    <w:rsid w:val="00ED29A9"/>
    <w:rsid w:val="00ED40F1"/>
    <w:rsid w:val="00ED44AF"/>
    <w:rsid w:val="00ED4D34"/>
    <w:rsid w:val="00EE371B"/>
    <w:rsid w:val="00F213D4"/>
    <w:rsid w:val="00F40EB3"/>
    <w:rsid w:val="00F4516A"/>
    <w:rsid w:val="00F461E1"/>
    <w:rsid w:val="00F4784E"/>
    <w:rsid w:val="00F62EAC"/>
    <w:rsid w:val="00F64B01"/>
    <w:rsid w:val="00F65144"/>
    <w:rsid w:val="00F67AE4"/>
    <w:rsid w:val="00F731F6"/>
    <w:rsid w:val="00F73F11"/>
    <w:rsid w:val="00F820B4"/>
    <w:rsid w:val="00F82383"/>
    <w:rsid w:val="00F84F83"/>
    <w:rsid w:val="00F95A60"/>
    <w:rsid w:val="00FA6F6B"/>
    <w:rsid w:val="00FB0B59"/>
    <w:rsid w:val="00FB13FA"/>
    <w:rsid w:val="00FB228B"/>
    <w:rsid w:val="00FB77DD"/>
    <w:rsid w:val="00FC76D6"/>
    <w:rsid w:val="00FD54ED"/>
    <w:rsid w:val="00FD6520"/>
    <w:rsid w:val="00FD7A8B"/>
    <w:rsid w:val="00FE0E15"/>
    <w:rsid w:val="00FF47B0"/>
    <w:rsid w:val="00FF656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7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11342"/>
    <w:rPr>
      <w:strike w:val="0"/>
      <w:dstrike w:val="0"/>
      <w:color w:val="1773B9"/>
      <w:u w:val="none"/>
      <w:effect w:val="none"/>
    </w:rPr>
  </w:style>
</w:styles>
</file>

<file path=word/webSettings.xml><?xml version="1.0" encoding="utf-8"?>
<w:webSettings xmlns:r="http://schemas.openxmlformats.org/officeDocument/2006/relationships" xmlns:w="http://schemas.openxmlformats.org/wordprocessingml/2006/main">
  <w:divs>
    <w:div w:id="1670644671">
      <w:bodyDiv w:val="1"/>
      <w:marLeft w:val="0"/>
      <w:marRight w:val="0"/>
      <w:marTop w:val="106"/>
      <w:marBottom w:val="0"/>
      <w:divBdr>
        <w:top w:val="none" w:sz="0" w:space="0" w:color="auto"/>
        <w:left w:val="none" w:sz="0" w:space="0" w:color="auto"/>
        <w:bottom w:val="none" w:sz="0" w:space="0" w:color="auto"/>
        <w:right w:val="none" w:sz="0" w:space="0" w:color="auto"/>
      </w:divBdr>
      <w:divsChild>
        <w:div w:id="1683824628">
          <w:marLeft w:val="0"/>
          <w:marRight w:val="0"/>
          <w:marTop w:val="100"/>
          <w:marBottom w:val="100"/>
          <w:divBdr>
            <w:top w:val="none" w:sz="0" w:space="0" w:color="auto"/>
            <w:left w:val="none" w:sz="0" w:space="0" w:color="auto"/>
            <w:bottom w:val="none" w:sz="0" w:space="0" w:color="auto"/>
            <w:right w:val="none" w:sz="0" w:space="0" w:color="auto"/>
          </w:divBdr>
          <w:divsChild>
            <w:div w:id="865293127">
              <w:marLeft w:val="0"/>
              <w:marRight w:val="0"/>
              <w:marTop w:val="100"/>
              <w:marBottom w:val="100"/>
              <w:divBdr>
                <w:top w:val="none" w:sz="0" w:space="0" w:color="auto"/>
                <w:left w:val="none" w:sz="0" w:space="0" w:color="auto"/>
                <w:bottom w:val="none" w:sz="0" w:space="0" w:color="auto"/>
                <w:right w:val="none" w:sz="0" w:space="0" w:color="auto"/>
              </w:divBdr>
              <w:divsChild>
                <w:div w:id="1129081581">
                  <w:marLeft w:val="0"/>
                  <w:marRight w:val="0"/>
                  <w:marTop w:val="0"/>
                  <w:marBottom w:val="0"/>
                  <w:divBdr>
                    <w:top w:val="none" w:sz="0" w:space="0" w:color="auto"/>
                    <w:left w:val="none" w:sz="0" w:space="0" w:color="auto"/>
                    <w:bottom w:val="none" w:sz="0" w:space="0" w:color="auto"/>
                    <w:right w:val="none" w:sz="0" w:space="0" w:color="auto"/>
                  </w:divBdr>
                  <w:divsChild>
                    <w:div w:id="634720908">
                      <w:marLeft w:val="0"/>
                      <w:marRight w:val="0"/>
                      <w:marTop w:val="0"/>
                      <w:marBottom w:val="0"/>
                      <w:divBdr>
                        <w:top w:val="none" w:sz="0" w:space="0" w:color="auto"/>
                        <w:left w:val="none" w:sz="0" w:space="0" w:color="auto"/>
                        <w:bottom w:val="none" w:sz="0" w:space="0" w:color="auto"/>
                        <w:right w:val="none" w:sz="0" w:space="0" w:color="auto"/>
                      </w:divBdr>
                      <w:divsChild>
                        <w:div w:id="2055620105">
                          <w:marLeft w:val="88"/>
                          <w:marRight w:val="88"/>
                          <w:marTop w:val="44"/>
                          <w:marBottom w:val="44"/>
                          <w:divBdr>
                            <w:top w:val="none" w:sz="0" w:space="0" w:color="auto"/>
                            <w:left w:val="none" w:sz="0" w:space="0" w:color="auto"/>
                            <w:bottom w:val="none" w:sz="0" w:space="0" w:color="auto"/>
                            <w:right w:val="none" w:sz="0" w:space="0" w:color="auto"/>
                          </w:divBdr>
                          <w:divsChild>
                            <w:div w:id="255945576">
                              <w:marLeft w:val="0"/>
                              <w:marRight w:val="0"/>
                              <w:marTop w:val="0"/>
                              <w:marBottom w:val="0"/>
                              <w:divBdr>
                                <w:top w:val="none" w:sz="0" w:space="0" w:color="auto"/>
                                <w:left w:val="none" w:sz="0" w:space="0" w:color="auto"/>
                                <w:bottom w:val="none" w:sz="0" w:space="0" w:color="auto"/>
                                <w:right w:val="none" w:sz="0" w:space="0" w:color="auto"/>
                              </w:divBdr>
                            </w:div>
                            <w:div w:id="445543422">
                              <w:marLeft w:val="0"/>
                              <w:marRight w:val="0"/>
                              <w:marTop w:val="0"/>
                              <w:marBottom w:val="0"/>
                              <w:divBdr>
                                <w:top w:val="none" w:sz="0" w:space="0" w:color="auto"/>
                                <w:left w:val="none" w:sz="0" w:space="0" w:color="auto"/>
                                <w:bottom w:val="none" w:sz="0" w:space="0" w:color="auto"/>
                                <w:right w:val="none" w:sz="0" w:space="0" w:color="auto"/>
                              </w:divBdr>
                            </w:div>
                            <w:div w:id="153648170">
                              <w:marLeft w:val="0"/>
                              <w:marRight w:val="0"/>
                              <w:marTop w:val="0"/>
                              <w:marBottom w:val="0"/>
                              <w:divBdr>
                                <w:top w:val="none" w:sz="0" w:space="0" w:color="auto"/>
                                <w:left w:val="none" w:sz="0" w:space="0" w:color="auto"/>
                                <w:bottom w:val="none" w:sz="0" w:space="0" w:color="auto"/>
                                <w:right w:val="none" w:sz="0" w:space="0" w:color="auto"/>
                              </w:divBdr>
                            </w:div>
                          </w:divsChild>
                        </w:div>
                        <w:div w:id="1583369135">
                          <w:marLeft w:val="88"/>
                          <w:marRight w:val="88"/>
                          <w:marTop w:val="133"/>
                          <w:marBottom w:val="44"/>
                          <w:divBdr>
                            <w:top w:val="none" w:sz="0" w:space="0" w:color="auto"/>
                            <w:left w:val="none" w:sz="0" w:space="0" w:color="auto"/>
                            <w:bottom w:val="none" w:sz="0" w:space="0" w:color="auto"/>
                            <w:right w:val="none" w:sz="0" w:space="0" w:color="auto"/>
                          </w:divBdr>
                        </w:div>
                        <w:div w:id="702093895">
                          <w:marLeft w:val="0"/>
                          <w:marRight w:val="0"/>
                          <w:marTop w:val="0"/>
                          <w:marBottom w:val="44"/>
                          <w:divBdr>
                            <w:top w:val="none" w:sz="0" w:space="0" w:color="auto"/>
                            <w:left w:val="none" w:sz="0" w:space="0" w:color="auto"/>
                            <w:bottom w:val="none" w:sz="0" w:space="0" w:color="auto"/>
                            <w:right w:val="none" w:sz="0" w:space="0" w:color="auto"/>
                          </w:divBdr>
                        </w:div>
                      </w:divsChild>
                    </w:div>
                    <w:div w:id="986669611">
                      <w:marLeft w:val="88"/>
                      <w:marRight w:val="88"/>
                      <w:marTop w:val="44"/>
                      <w:marBottom w:val="44"/>
                      <w:divBdr>
                        <w:top w:val="none" w:sz="0" w:space="0" w:color="auto"/>
                        <w:left w:val="none" w:sz="0" w:space="0" w:color="auto"/>
                        <w:bottom w:val="none" w:sz="0" w:space="0" w:color="auto"/>
                        <w:right w:val="none" w:sz="0" w:space="0" w:color="auto"/>
                      </w:divBdr>
                      <w:divsChild>
                        <w:div w:id="518392030">
                          <w:marLeft w:val="0"/>
                          <w:marRight w:val="0"/>
                          <w:marTop w:val="0"/>
                          <w:marBottom w:val="0"/>
                          <w:divBdr>
                            <w:top w:val="none" w:sz="0" w:space="0" w:color="auto"/>
                            <w:left w:val="none" w:sz="0" w:space="0" w:color="auto"/>
                            <w:bottom w:val="none" w:sz="0" w:space="0" w:color="auto"/>
                            <w:right w:val="none" w:sz="0" w:space="0" w:color="auto"/>
                          </w:divBdr>
                        </w:div>
                      </w:divsChild>
                    </w:div>
                    <w:div w:id="1125999725">
                      <w:marLeft w:val="88"/>
                      <w:marRight w:val="88"/>
                      <w:marTop w:val="133"/>
                      <w:marBottom w:val="44"/>
                      <w:divBdr>
                        <w:top w:val="none" w:sz="0" w:space="0" w:color="auto"/>
                        <w:left w:val="none" w:sz="0" w:space="0" w:color="auto"/>
                        <w:bottom w:val="none" w:sz="0" w:space="0" w:color="auto"/>
                        <w:right w:val="none" w:sz="0" w:space="0" w:color="auto"/>
                      </w:divBdr>
                    </w:div>
                    <w:div w:id="1620448039">
                      <w:marLeft w:val="0"/>
                      <w:marRight w:val="0"/>
                      <w:marTop w:val="0"/>
                      <w:marBottom w:val="44"/>
                      <w:divBdr>
                        <w:top w:val="none" w:sz="0" w:space="0" w:color="auto"/>
                        <w:left w:val="none" w:sz="0" w:space="0" w:color="auto"/>
                        <w:bottom w:val="none" w:sz="0" w:space="0" w:color="auto"/>
                        <w:right w:val="none" w:sz="0" w:space="0" w:color="auto"/>
                      </w:divBdr>
                    </w:div>
                    <w:div w:id="1346054532">
                      <w:marLeft w:val="0"/>
                      <w:marRight w:val="0"/>
                      <w:marTop w:val="0"/>
                      <w:marBottom w:val="0"/>
                      <w:divBdr>
                        <w:top w:val="none" w:sz="0" w:space="0" w:color="auto"/>
                        <w:left w:val="none" w:sz="0" w:space="0" w:color="auto"/>
                        <w:bottom w:val="none" w:sz="0" w:space="0" w:color="auto"/>
                        <w:right w:val="none" w:sz="0" w:space="0" w:color="auto"/>
                      </w:divBdr>
                      <w:divsChild>
                        <w:div w:id="114562842">
                          <w:marLeft w:val="88"/>
                          <w:marRight w:val="88"/>
                          <w:marTop w:val="44"/>
                          <w:marBottom w:val="44"/>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persianblog.ir/ProfileView.aspx?userID=75361" TargetMode="External"/><Relationship Id="rId3" Type="http://schemas.openxmlformats.org/officeDocument/2006/relationships/webSettings" Target="webSettings.xm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http://sepahansafety.persianblog.ir/post/48/" TargetMode="External"/><Relationship Id="rId5" Type="http://schemas.openxmlformats.org/officeDocument/2006/relationships/hyperlink" Target="http://sepahansafety.persianblog.ir/post/49/" TargetMode="External"/><Relationship Id="rId15" Type="http://schemas.openxmlformats.org/officeDocument/2006/relationships/fontTable" Target="fontTable.xml"/><Relationship Id="rId10" Type="http://schemas.openxmlformats.org/officeDocument/2006/relationships/hyperlink" Target="http://sepahansafety.persianblog.ir/post/48/" TargetMode="External"/><Relationship Id="rId4" Type="http://schemas.openxmlformats.org/officeDocument/2006/relationships/image" Target="media/image1.gif"/><Relationship Id="rId9" Type="http://schemas.openxmlformats.org/officeDocument/2006/relationships/hyperlink" Target="http://persianblog.ir/ProfileView.aspx?userID=75361" TargetMode="External"/><Relationship Id="rId14" Type="http://schemas.openxmlformats.org/officeDocument/2006/relationships/hyperlink" Target="http://sepahansafety.persianblog.ir/post/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1328</Words>
  <Characters>7573</Characters>
  <Application>Microsoft Office Word</Application>
  <DocSecurity>0</DocSecurity>
  <Lines>63</Lines>
  <Paragraphs>17</Paragraphs>
  <ScaleCrop>false</ScaleCrop>
  <Company/>
  <LinksUpToDate>false</LinksUpToDate>
  <CharactersWithSpaces>8884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mahmood pishahangi</dc:creator>
  <cp:lastModifiedBy>mahmood pishahangi</cp:lastModifiedBy>
  <cp:revision>1</cp:revision>
  <dcterms:created xsi:type="dcterms:W3CDTF">2011-02-09T06:52:00Z</dcterms:created>
  <dcterms:modified xsi:type="dcterms:W3CDTF">2011-02-09T06:53:00Z</dcterms:modified>
</cp:coreProperties>
</file>